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1FBC" w14:textId="77777777" w:rsidR="002A2470" w:rsidRPr="005B6405" w:rsidRDefault="002A2470" w:rsidP="00EE1C91">
      <w:pPr>
        <w:tabs>
          <w:tab w:val="left" w:pos="5745"/>
        </w:tabs>
        <w:rPr>
          <w:rFonts w:eastAsia="Times New Roman" w:cs="Arial"/>
        </w:rPr>
      </w:pPr>
    </w:p>
    <w:tbl>
      <w:tblPr>
        <w:tblW w:w="9960" w:type="dxa"/>
        <w:tblInd w:w="-11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960"/>
      </w:tblGrid>
      <w:tr w:rsidR="008C74FC" w:rsidRPr="005B6405" w14:paraId="51D5A2CD" w14:textId="77777777" w:rsidTr="00791C8E">
        <w:trPr>
          <w:trHeight w:val="10065"/>
        </w:trPr>
        <w:tc>
          <w:tcPr>
            <w:tcW w:w="9960" w:type="dxa"/>
          </w:tcPr>
          <w:p w14:paraId="0A180155" w14:textId="77777777" w:rsidR="008C74FC" w:rsidRPr="005B6405" w:rsidRDefault="008C74FC" w:rsidP="008C74FC">
            <w:pPr>
              <w:spacing w:after="0" w:line="321" w:lineRule="exact"/>
              <w:ind w:left="70"/>
              <w:rPr>
                <w:rFonts w:eastAsia="Times New Roman" w:cs="Arial"/>
              </w:rPr>
            </w:pPr>
          </w:p>
          <w:p w14:paraId="1CB682F1" w14:textId="1AC07337" w:rsidR="008C74FC" w:rsidRPr="005B6405" w:rsidRDefault="008C74FC" w:rsidP="008C74FC">
            <w:pPr>
              <w:spacing w:after="0" w:line="0" w:lineRule="atLeast"/>
              <w:jc w:val="center"/>
              <w:rPr>
                <w:rFonts w:eastAsia="Times New Roman" w:cs="Arial"/>
                <w:b/>
              </w:rPr>
            </w:pPr>
            <w:r w:rsidRPr="005B6405">
              <w:rPr>
                <w:rFonts w:eastAsia="Times New Roman" w:cs="Arial"/>
                <w:b/>
              </w:rPr>
              <w:t>Botswana Medicines Regulatory Authority</w:t>
            </w:r>
          </w:p>
          <w:p w14:paraId="20CA2242" w14:textId="41F35F6A" w:rsidR="008C74FC" w:rsidRPr="005B6405" w:rsidRDefault="008C74FC" w:rsidP="008C74FC">
            <w:pPr>
              <w:ind w:left="70"/>
              <w:rPr>
                <w:rFonts w:eastAsia="Times New Roman" w:cs="Arial"/>
              </w:rPr>
            </w:pPr>
          </w:p>
          <w:p w14:paraId="30A02D24" w14:textId="247E3AE9" w:rsidR="00791C8E" w:rsidRPr="005B6405" w:rsidRDefault="00791C8E" w:rsidP="008C74FC">
            <w:pPr>
              <w:ind w:left="70"/>
              <w:rPr>
                <w:rFonts w:eastAsia="Times New Roman" w:cs="Arial"/>
              </w:rPr>
            </w:pPr>
          </w:p>
          <w:p w14:paraId="25FB7B53" w14:textId="0600CC23" w:rsidR="00791C8E" w:rsidRPr="005B6405" w:rsidRDefault="00791C8E" w:rsidP="008C74FC">
            <w:pPr>
              <w:ind w:left="70"/>
              <w:rPr>
                <w:rFonts w:eastAsia="Times New Roman" w:cs="Arial"/>
              </w:rPr>
            </w:pPr>
          </w:p>
          <w:p w14:paraId="0590F521" w14:textId="5B60EB34" w:rsidR="008C74FC" w:rsidRPr="005B6405" w:rsidRDefault="008C74FC" w:rsidP="008C74FC">
            <w:pPr>
              <w:ind w:left="70"/>
              <w:rPr>
                <w:rFonts w:eastAsia="Times New Roman" w:cs="Arial"/>
              </w:rPr>
            </w:pPr>
          </w:p>
          <w:p w14:paraId="25189A7A" w14:textId="2604D681" w:rsidR="008C74FC" w:rsidRPr="005B6405" w:rsidRDefault="008C74FC" w:rsidP="008C74FC">
            <w:pPr>
              <w:ind w:left="70"/>
              <w:rPr>
                <w:rFonts w:eastAsia="Times New Roman" w:cs="Arial"/>
              </w:rPr>
            </w:pPr>
          </w:p>
          <w:p w14:paraId="0A18537C" w14:textId="6410CD96" w:rsidR="008C74FC" w:rsidRPr="005B6405" w:rsidRDefault="00791C8E" w:rsidP="008C74FC">
            <w:pPr>
              <w:ind w:left="70"/>
              <w:rPr>
                <w:rFonts w:eastAsia="Times New Roman" w:cs="Arial"/>
                <w:b/>
              </w:rPr>
            </w:pPr>
            <w:r w:rsidRPr="0028248B">
              <w:rPr>
                <w:rFonts w:eastAsia="Times New Roman" w:cs="Arial"/>
                <w:noProof/>
              </w:rPr>
              <w:drawing>
                <wp:anchor distT="0" distB="0" distL="114300" distR="114300" simplePos="0" relativeHeight="251658240" behindDoc="1" locked="0" layoutInCell="1" allowOverlap="1" wp14:anchorId="6AE98D22" wp14:editId="40797A9C">
                  <wp:simplePos x="0" y="0"/>
                  <wp:positionH relativeFrom="page">
                    <wp:posOffset>586105</wp:posOffset>
                  </wp:positionH>
                  <wp:positionV relativeFrom="paragraph">
                    <wp:posOffset>274955</wp:posOffset>
                  </wp:positionV>
                  <wp:extent cx="5552440" cy="1409700"/>
                  <wp:effectExtent l="0" t="0" r="0" b="0"/>
                  <wp:wrapTight wrapText="bothSides">
                    <wp:wrapPolygon edited="0">
                      <wp:start x="0" y="0"/>
                      <wp:lineTo x="0" y="21308"/>
                      <wp:lineTo x="21491" y="21308"/>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2440" cy="1409700"/>
                          </a:xfrm>
                          <a:prstGeom prst="rect">
                            <a:avLst/>
                          </a:prstGeom>
                          <a:noFill/>
                        </pic:spPr>
                      </pic:pic>
                    </a:graphicData>
                  </a:graphic>
                  <wp14:sizeRelH relativeFrom="margin">
                    <wp14:pctWidth>0</wp14:pctWidth>
                  </wp14:sizeRelH>
                  <wp14:sizeRelV relativeFrom="margin">
                    <wp14:pctHeight>0</wp14:pctHeight>
                  </wp14:sizeRelV>
                </wp:anchor>
              </w:drawing>
            </w:r>
          </w:p>
          <w:p w14:paraId="62477BCF" w14:textId="77777777" w:rsidR="008C74FC" w:rsidRPr="005B6405" w:rsidRDefault="008C74FC" w:rsidP="008C74FC">
            <w:pPr>
              <w:ind w:left="70"/>
              <w:rPr>
                <w:rFonts w:eastAsia="Times New Roman" w:cs="Arial"/>
              </w:rPr>
            </w:pPr>
          </w:p>
          <w:p w14:paraId="6B65A424" w14:textId="5B9988D8" w:rsidR="008C74FC" w:rsidRPr="005B6405" w:rsidRDefault="008C74FC" w:rsidP="008C74FC">
            <w:pPr>
              <w:tabs>
                <w:tab w:val="left" w:pos="1575"/>
              </w:tabs>
              <w:ind w:left="70"/>
              <w:rPr>
                <w:rFonts w:eastAsia="Times New Roman" w:cs="Arial"/>
                <w:b/>
              </w:rPr>
            </w:pPr>
          </w:p>
          <w:p w14:paraId="3556E128" w14:textId="77777777" w:rsidR="008C74FC" w:rsidRPr="005B6405" w:rsidRDefault="008C74FC" w:rsidP="008C74FC">
            <w:pPr>
              <w:tabs>
                <w:tab w:val="left" w:pos="1575"/>
              </w:tabs>
              <w:ind w:left="70"/>
              <w:rPr>
                <w:rFonts w:eastAsia="Times New Roman" w:cs="Arial"/>
                <w:b/>
              </w:rPr>
            </w:pPr>
          </w:p>
          <w:p w14:paraId="61087A8B" w14:textId="77777777" w:rsidR="008C74FC" w:rsidRPr="005B6405" w:rsidRDefault="008C74FC" w:rsidP="008C74FC">
            <w:pPr>
              <w:tabs>
                <w:tab w:val="left" w:pos="1575"/>
              </w:tabs>
              <w:ind w:left="70"/>
              <w:rPr>
                <w:rFonts w:eastAsia="Times New Roman" w:cs="Arial"/>
                <w:b/>
              </w:rPr>
            </w:pPr>
          </w:p>
          <w:p w14:paraId="719866B0" w14:textId="77777777" w:rsidR="00791C8E" w:rsidRPr="005B6405" w:rsidRDefault="00791C8E" w:rsidP="008C74FC">
            <w:pPr>
              <w:spacing w:after="0" w:line="250" w:lineRule="auto"/>
              <w:ind w:left="70" w:right="1880" w:firstLine="720"/>
              <w:rPr>
                <w:rFonts w:eastAsia="Times New Roman" w:cs="Arial"/>
                <w:b/>
              </w:rPr>
            </w:pPr>
          </w:p>
          <w:p w14:paraId="42348A50" w14:textId="77777777" w:rsidR="001779C5" w:rsidRPr="005B6405" w:rsidRDefault="001779C5" w:rsidP="008C74FC">
            <w:pPr>
              <w:spacing w:after="0" w:line="250" w:lineRule="auto"/>
              <w:ind w:left="70" w:right="1880" w:firstLine="720"/>
              <w:rPr>
                <w:rFonts w:eastAsia="Times New Roman" w:cs="Arial"/>
                <w:b/>
              </w:rPr>
            </w:pPr>
          </w:p>
          <w:p w14:paraId="739FE980" w14:textId="77777777" w:rsidR="001779C5" w:rsidRPr="005B6405" w:rsidRDefault="001779C5" w:rsidP="008C74FC">
            <w:pPr>
              <w:spacing w:after="0" w:line="250" w:lineRule="auto"/>
              <w:ind w:left="70" w:right="1880" w:firstLine="720"/>
              <w:rPr>
                <w:rFonts w:eastAsia="Times New Roman" w:cs="Arial"/>
                <w:b/>
              </w:rPr>
            </w:pPr>
          </w:p>
          <w:p w14:paraId="7B168264" w14:textId="77777777" w:rsidR="001779C5" w:rsidRPr="005B6405" w:rsidRDefault="001779C5" w:rsidP="008C74FC">
            <w:pPr>
              <w:spacing w:after="0" w:line="250" w:lineRule="auto"/>
              <w:ind w:left="70" w:right="1880" w:firstLine="720"/>
              <w:rPr>
                <w:rFonts w:eastAsia="Times New Roman" w:cs="Arial"/>
                <w:b/>
              </w:rPr>
            </w:pPr>
          </w:p>
          <w:p w14:paraId="7619C88E" w14:textId="77777777" w:rsidR="001779C5" w:rsidRPr="005B6405" w:rsidRDefault="001779C5" w:rsidP="008C74FC">
            <w:pPr>
              <w:spacing w:after="0" w:line="250" w:lineRule="auto"/>
              <w:ind w:left="70" w:right="1880" w:firstLine="720"/>
              <w:rPr>
                <w:rFonts w:eastAsia="Times New Roman" w:cs="Arial"/>
                <w:b/>
              </w:rPr>
            </w:pPr>
          </w:p>
          <w:p w14:paraId="448F95A5" w14:textId="77777777" w:rsidR="001779C5" w:rsidRPr="005B6405" w:rsidRDefault="001779C5" w:rsidP="008C74FC">
            <w:pPr>
              <w:spacing w:after="0" w:line="250" w:lineRule="auto"/>
              <w:ind w:left="70" w:right="1880" w:firstLine="720"/>
              <w:rPr>
                <w:rFonts w:eastAsia="Times New Roman" w:cs="Arial"/>
                <w:b/>
              </w:rPr>
            </w:pPr>
          </w:p>
          <w:p w14:paraId="656FB743" w14:textId="582AAA0A" w:rsidR="00791C8E" w:rsidRPr="005B6405" w:rsidRDefault="008C74FC" w:rsidP="00791C8E">
            <w:pPr>
              <w:spacing w:line="0" w:lineRule="atLeast"/>
              <w:rPr>
                <w:rFonts w:eastAsia="Times New Roman" w:cs="Arial"/>
                <w:b/>
              </w:rPr>
            </w:pPr>
            <w:r w:rsidRPr="005B6405">
              <w:rPr>
                <w:rFonts w:eastAsia="Times New Roman" w:cs="Arial"/>
                <w:b/>
              </w:rPr>
              <w:t>Approved By</w:t>
            </w:r>
            <w:r w:rsidR="00791C8E" w:rsidRPr="005B6405">
              <w:rPr>
                <w:rFonts w:eastAsia="Times New Roman" w:cs="Arial"/>
                <w:b/>
              </w:rPr>
              <w:t>: ______________________                                ______________________</w:t>
            </w:r>
          </w:p>
          <w:p w14:paraId="09D674C3" w14:textId="4D8D2496" w:rsidR="00791C8E" w:rsidRPr="005B6405" w:rsidRDefault="00791C8E" w:rsidP="00791C8E">
            <w:pPr>
              <w:spacing w:after="0" w:line="0" w:lineRule="atLeast"/>
              <w:ind w:left="220"/>
              <w:rPr>
                <w:rFonts w:eastAsia="Times New Roman" w:cs="Arial"/>
                <w:b/>
              </w:rPr>
            </w:pPr>
            <w:r w:rsidRPr="005B6405">
              <w:rPr>
                <w:rFonts w:eastAsia="Times New Roman" w:cs="Arial"/>
                <w:b/>
              </w:rPr>
              <w:t xml:space="preserve">               </w:t>
            </w:r>
            <w:r w:rsidR="006746AC" w:rsidRPr="005B6405">
              <w:rPr>
                <w:rFonts w:eastAsia="Times New Roman" w:cs="Arial"/>
                <w:b/>
              </w:rPr>
              <w:t xml:space="preserve"> Ms. </w:t>
            </w:r>
            <w:r w:rsidR="00C5729E" w:rsidRPr="005B6405">
              <w:rPr>
                <w:rFonts w:eastAsia="Times New Roman" w:cs="Arial"/>
                <w:b/>
              </w:rPr>
              <w:t>Zu</w:t>
            </w:r>
            <w:r w:rsidR="006746AC" w:rsidRPr="005B6405">
              <w:rPr>
                <w:rFonts w:eastAsia="Times New Roman" w:cs="Arial"/>
                <w:b/>
              </w:rPr>
              <w:t>kiswa Raditladi</w:t>
            </w:r>
            <w:r w:rsidRPr="005B6405">
              <w:rPr>
                <w:rFonts w:eastAsia="Times New Roman" w:cs="Arial"/>
                <w:b/>
              </w:rPr>
              <w:t xml:space="preserve">               </w:t>
            </w:r>
            <w:r w:rsidR="006746AC" w:rsidRPr="005B6405">
              <w:rPr>
                <w:rFonts w:eastAsia="Times New Roman" w:cs="Arial"/>
                <w:b/>
              </w:rPr>
              <w:t xml:space="preserve">                       </w:t>
            </w:r>
            <w:r w:rsidRPr="005B6405">
              <w:rPr>
                <w:rFonts w:eastAsia="Times New Roman" w:cs="Arial"/>
                <w:b/>
              </w:rPr>
              <w:t>Date of Approval</w:t>
            </w:r>
          </w:p>
          <w:p w14:paraId="034A1424" w14:textId="77777777" w:rsidR="00791C8E" w:rsidRPr="005B6405" w:rsidRDefault="00791C8E" w:rsidP="00791C8E">
            <w:pPr>
              <w:spacing w:after="0" w:line="12" w:lineRule="exact"/>
              <w:rPr>
                <w:rFonts w:eastAsia="Times New Roman" w:cs="Arial"/>
              </w:rPr>
            </w:pPr>
          </w:p>
          <w:p w14:paraId="4BF35E80" w14:textId="495C0695" w:rsidR="00791C8E" w:rsidRPr="005B6405" w:rsidRDefault="00791C8E" w:rsidP="00791C8E">
            <w:pPr>
              <w:spacing w:after="0" w:line="0" w:lineRule="atLeast"/>
              <w:ind w:left="60"/>
              <w:rPr>
                <w:rFonts w:eastAsia="Times New Roman" w:cs="Arial"/>
                <w:b/>
              </w:rPr>
            </w:pPr>
            <w:r w:rsidRPr="005B6405">
              <w:rPr>
                <w:rFonts w:eastAsia="Times New Roman" w:cs="Arial"/>
                <w:b/>
              </w:rPr>
              <w:t xml:space="preserve">                  Director – </w:t>
            </w:r>
            <w:r w:rsidR="00843878" w:rsidRPr="005B6405">
              <w:rPr>
                <w:rFonts w:eastAsia="Times New Roman" w:cs="Arial"/>
                <w:b/>
              </w:rPr>
              <w:t>Licensing</w:t>
            </w:r>
            <w:r w:rsidRPr="005B6405">
              <w:rPr>
                <w:rFonts w:eastAsia="Times New Roman" w:cs="Arial"/>
                <w:b/>
              </w:rPr>
              <w:t xml:space="preserve"> and </w:t>
            </w:r>
            <w:r w:rsidR="00843878" w:rsidRPr="005B6405">
              <w:rPr>
                <w:rFonts w:eastAsia="Times New Roman" w:cs="Arial"/>
                <w:b/>
              </w:rPr>
              <w:t>Enforcement</w:t>
            </w:r>
            <w:r w:rsidRPr="005B6405">
              <w:rPr>
                <w:rFonts w:eastAsia="Times New Roman" w:cs="Arial"/>
                <w:b/>
              </w:rPr>
              <w:t xml:space="preserve">       </w:t>
            </w:r>
            <w:proofErr w:type="gramStart"/>
            <w:r w:rsidRPr="005B6405">
              <w:rPr>
                <w:rFonts w:eastAsia="Times New Roman" w:cs="Arial"/>
                <w:b/>
              </w:rPr>
              <w:t xml:space="preserve">   (</w:t>
            </w:r>
            <w:proofErr w:type="gramEnd"/>
            <w:r w:rsidR="002448A4" w:rsidRPr="005B6405">
              <w:rPr>
                <w:rFonts w:eastAsia="Times New Roman" w:cs="Arial"/>
                <w:b/>
              </w:rPr>
              <w:t>DD</w:t>
            </w:r>
            <w:r w:rsidRPr="005B6405">
              <w:rPr>
                <w:rFonts w:eastAsia="Times New Roman" w:cs="Arial"/>
                <w:b/>
              </w:rPr>
              <w:t>/</w:t>
            </w:r>
            <w:r w:rsidR="002448A4" w:rsidRPr="005B6405">
              <w:rPr>
                <w:rFonts w:eastAsia="Times New Roman" w:cs="Arial"/>
                <w:b/>
              </w:rPr>
              <w:t>MM</w:t>
            </w:r>
            <w:r w:rsidRPr="005B6405">
              <w:rPr>
                <w:rFonts w:eastAsia="Times New Roman" w:cs="Arial"/>
                <w:b/>
              </w:rPr>
              <w:t>/</w:t>
            </w:r>
            <w:r w:rsidR="002448A4" w:rsidRPr="005B6405">
              <w:rPr>
                <w:rFonts w:eastAsia="Times New Roman" w:cs="Arial"/>
                <w:b/>
              </w:rPr>
              <w:t>YYYY</w:t>
            </w:r>
            <w:r w:rsidRPr="005B6405">
              <w:rPr>
                <w:rFonts w:eastAsia="Times New Roman" w:cs="Arial"/>
                <w:b/>
              </w:rPr>
              <w:t xml:space="preserve">)       </w:t>
            </w:r>
          </w:p>
          <w:p w14:paraId="1D521D7C" w14:textId="7BAA52DC" w:rsidR="008C74FC" w:rsidRPr="005B6405" w:rsidRDefault="008C74FC" w:rsidP="008C74FC">
            <w:pPr>
              <w:spacing w:after="0" w:line="250" w:lineRule="auto"/>
              <w:ind w:left="70" w:right="1880" w:firstLine="720"/>
              <w:rPr>
                <w:rFonts w:eastAsia="Times New Roman" w:cs="Arial"/>
                <w:b/>
              </w:rPr>
            </w:pPr>
            <w:r w:rsidRPr="005B6405">
              <w:rPr>
                <w:rFonts w:eastAsia="Times New Roman" w:cs="Arial"/>
                <w:b/>
              </w:rPr>
              <w:tab/>
            </w:r>
            <w:r w:rsidRPr="005B6405">
              <w:rPr>
                <w:rFonts w:eastAsia="Times New Roman" w:cs="Arial"/>
                <w:b/>
              </w:rPr>
              <w:tab/>
            </w:r>
          </w:p>
          <w:p w14:paraId="7241E29B" w14:textId="77777777" w:rsidR="008C74FC" w:rsidRPr="005B6405" w:rsidRDefault="008C74FC" w:rsidP="008C74FC">
            <w:pPr>
              <w:spacing w:after="0" w:line="250" w:lineRule="auto"/>
              <w:ind w:left="70" w:right="1880" w:firstLine="720"/>
              <w:rPr>
                <w:rFonts w:eastAsia="Times New Roman" w:cs="Arial"/>
                <w:b/>
              </w:rPr>
            </w:pPr>
          </w:p>
          <w:p w14:paraId="1BBA36D1" w14:textId="77777777" w:rsidR="008C74FC" w:rsidRPr="005B6405" w:rsidRDefault="008C74FC" w:rsidP="00791C8E">
            <w:pPr>
              <w:spacing w:after="0" w:line="200" w:lineRule="exact"/>
              <w:ind w:left="70" w:firstLine="720"/>
              <w:rPr>
                <w:rFonts w:eastAsia="Times New Roman" w:cs="Arial"/>
              </w:rPr>
            </w:pPr>
          </w:p>
        </w:tc>
      </w:tr>
    </w:tbl>
    <w:p w14:paraId="6427B3FD" w14:textId="77777777" w:rsidR="007E2956" w:rsidRPr="005B6405" w:rsidRDefault="007E2956" w:rsidP="00CB0294">
      <w:pPr>
        <w:tabs>
          <w:tab w:val="left" w:pos="1575"/>
        </w:tabs>
        <w:rPr>
          <w:rFonts w:eastAsia="Times New Roman" w:cs="Arial"/>
        </w:rPr>
      </w:pPr>
    </w:p>
    <w:p w14:paraId="0A43F2B7" w14:textId="16A51307" w:rsidR="002A2470" w:rsidRPr="005B6405" w:rsidRDefault="002A2470" w:rsidP="002A2470">
      <w:pPr>
        <w:tabs>
          <w:tab w:val="left" w:pos="5820"/>
        </w:tabs>
        <w:rPr>
          <w:rFonts w:eastAsia="Times New Roman" w:cs="Arial"/>
        </w:rPr>
        <w:sectPr w:rsidR="002A2470" w:rsidRPr="005B6405" w:rsidSect="00791C8E">
          <w:headerReference w:type="even" r:id="rId12"/>
          <w:headerReference w:type="default" r:id="rId13"/>
          <w:footerReference w:type="default" r:id="rId14"/>
          <w:pgSz w:w="11900" w:h="16838"/>
          <w:pgMar w:top="263" w:right="806" w:bottom="65" w:left="1180" w:header="709" w:footer="709" w:gutter="0"/>
          <w:cols w:space="0" w:equalWidth="0">
            <w:col w:w="9920"/>
          </w:cols>
          <w:docGrid w:linePitch="360"/>
        </w:sectPr>
      </w:pPr>
    </w:p>
    <w:sdt>
      <w:sdtPr>
        <w:rPr>
          <w:rFonts w:ascii="Gill Sans MT" w:eastAsiaTheme="minorEastAsia" w:hAnsi="Gill Sans MT" w:cstheme="minorBidi"/>
          <w:b/>
          <w:bCs/>
          <w:noProof/>
          <w:color w:val="auto"/>
          <w:sz w:val="24"/>
          <w:szCs w:val="24"/>
        </w:rPr>
        <w:id w:val="322252549"/>
        <w:docPartObj>
          <w:docPartGallery w:val="Table of Contents"/>
          <w:docPartUnique/>
        </w:docPartObj>
      </w:sdtPr>
      <w:sdtContent>
        <w:p w14:paraId="2CEEC8C5" w14:textId="39FEF9F3" w:rsidR="00A0444B" w:rsidRPr="005B6405" w:rsidRDefault="00A0444B">
          <w:pPr>
            <w:pStyle w:val="TOCHeading"/>
            <w:rPr>
              <w:rFonts w:ascii="Gill Sans MT" w:hAnsi="Gill Sans MT" w:cs="Times New Roman"/>
              <w:b/>
              <w:bCs/>
              <w:color w:val="auto"/>
              <w:sz w:val="24"/>
              <w:szCs w:val="24"/>
            </w:rPr>
          </w:pPr>
          <w:r w:rsidRPr="005B6405">
            <w:rPr>
              <w:rFonts w:ascii="Gill Sans MT" w:hAnsi="Gill Sans MT" w:cs="Times New Roman"/>
              <w:b/>
              <w:bCs/>
              <w:color w:val="auto"/>
              <w:sz w:val="24"/>
              <w:szCs w:val="24"/>
            </w:rPr>
            <w:t>Table of Contents</w:t>
          </w:r>
        </w:p>
        <w:p w14:paraId="3E841086" w14:textId="442388BE" w:rsidR="006834A3" w:rsidRDefault="00A0444B">
          <w:pPr>
            <w:pStyle w:val="TOC3"/>
            <w:tabs>
              <w:tab w:val="right" w:leader="dot" w:pos="9016"/>
            </w:tabs>
            <w:rPr>
              <w:rFonts w:asciiTheme="minorHAnsi" w:eastAsiaTheme="minorEastAsia" w:hAnsiTheme="minorHAnsi"/>
              <w:noProof/>
              <w:kern w:val="2"/>
              <w:lang w:val="en-US"/>
              <w14:ligatures w14:val="standardContextual"/>
            </w:rPr>
          </w:pPr>
          <w:r w:rsidRPr="005B6405">
            <w:fldChar w:fldCharType="begin"/>
          </w:r>
          <w:r w:rsidRPr="005B6405">
            <w:instrText xml:space="preserve"> TOC \o "1-3" \h \z \u </w:instrText>
          </w:r>
          <w:r w:rsidRPr="005B6405">
            <w:fldChar w:fldCharType="separate"/>
          </w:r>
          <w:hyperlink w:anchor="_Toc227072321" w:history="1">
            <w:r w:rsidR="006834A3" w:rsidRPr="003C0DCA">
              <w:rPr>
                <w:rStyle w:val="Hyperlink"/>
                <w:noProof/>
              </w:rPr>
              <w:t>Revision status sheet</w:t>
            </w:r>
            <w:r w:rsidR="006834A3">
              <w:rPr>
                <w:noProof/>
                <w:webHidden/>
              </w:rPr>
              <w:tab/>
            </w:r>
            <w:r w:rsidR="006834A3">
              <w:rPr>
                <w:noProof/>
                <w:webHidden/>
              </w:rPr>
              <w:fldChar w:fldCharType="begin"/>
            </w:r>
            <w:r w:rsidR="006834A3">
              <w:rPr>
                <w:noProof/>
                <w:webHidden/>
              </w:rPr>
              <w:instrText xml:space="preserve"> PAGEREF _Toc227072321 \h </w:instrText>
            </w:r>
            <w:r w:rsidR="006834A3">
              <w:rPr>
                <w:noProof/>
                <w:webHidden/>
              </w:rPr>
            </w:r>
            <w:r w:rsidR="006834A3">
              <w:rPr>
                <w:noProof/>
                <w:webHidden/>
              </w:rPr>
              <w:fldChar w:fldCharType="separate"/>
            </w:r>
            <w:r w:rsidR="005D56D8">
              <w:rPr>
                <w:noProof/>
                <w:webHidden/>
              </w:rPr>
              <w:t>3</w:t>
            </w:r>
            <w:r w:rsidR="006834A3">
              <w:rPr>
                <w:noProof/>
                <w:webHidden/>
              </w:rPr>
              <w:fldChar w:fldCharType="end"/>
            </w:r>
          </w:hyperlink>
        </w:p>
        <w:p w14:paraId="6B7ABB12" w14:textId="5AD7779C" w:rsidR="006834A3" w:rsidRDefault="006834A3">
          <w:pPr>
            <w:pStyle w:val="TOC1"/>
            <w:rPr>
              <w:rFonts w:asciiTheme="minorHAnsi" w:eastAsiaTheme="minorEastAsia" w:hAnsiTheme="minorHAnsi"/>
              <w:b w:val="0"/>
              <w:bCs w:val="0"/>
              <w:kern w:val="2"/>
              <w:lang w:val="en-US"/>
              <w14:ligatures w14:val="standardContextual"/>
            </w:rPr>
          </w:pPr>
          <w:hyperlink w:anchor="_Toc227072322" w:history="1">
            <w:r w:rsidRPr="003C0DCA">
              <w:rPr>
                <w:rStyle w:val="Hyperlink"/>
              </w:rPr>
              <w:t xml:space="preserve">1. </w:t>
            </w:r>
            <w:r>
              <w:rPr>
                <w:rFonts w:asciiTheme="minorHAnsi" w:eastAsiaTheme="minorEastAsia" w:hAnsiTheme="minorHAnsi"/>
                <w:b w:val="0"/>
                <w:bCs w:val="0"/>
                <w:kern w:val="2"/>
                <w:lang w:val="en-US"/>
                <w14:ligatures w14:val="standardContextual"/>
              </w:rPr>
              <w:tab/>
            </w:r>
            <w:r w:rsidRPr="003C0DCA">
              <w:rPr>
                <w:rStyle w:val="Hyperlink"/>
              </w:rPr>
              <w:t>Preamble</w:t>
            </w:r>
            <w:r>
              <w:rPr>
                <w:webHidden/>
              </w:rPr>
              <w:tab/>
            </w:r>
            <w:r>
              <w:rPr>
                <w:webHidden/>
              </w:rPr>
              <w:fldChar w:fldCharType="begin"/>
            </w:r>
            <w:r>
              <w:rPr>
                <w:webHidden/>
              </w:rPr>
              <w:instrText xml:space="preserve"> PAGEREF _Toc227072322 \h </w:instrText>
            </w:r>
            <w:r>
              <w:rPr>
                <w:webHidden/>
              </w:rPr>
            </w:r>
            <w:r>
              <w:rPr>
                <w:webHidden/>
              </w:rPr>
              <w:fldChar w:fldCharType="separate"/>
            </w:r>
            <w:r w:rsidR="005D56D8">
              <w:rPr>
                <w:webHidden/>
              </w:rPr>
              <w:t>4</w:t>
            </w:r>
            <w:r>
              <w:rPr>
                <w:webHidden/>
              </w:rPr>
              <w:fldChar w:fldCharType="end"/>
            </w:r>
          </w:hyperlink>
        </w:p>
        <w:p w14:paraId="5E678BF0" w14:textId="093A39C1" w:rsidR="006834A3" w:rsidRDefault="006834A3">
          <w:pPr>
            <w:pStyle w:val="TOC1"/>
            <w:rPr>
              <w:rFonts w:asciiTheme="minorHAnsi" w:eastAsiaTheme="minorEastAsia" w:hAnsiTheme="minorHAnsi"/>
              <w:b w:val="0"/>
              <w:bCs w:val="0"/>
              <w:kern w:val="2"/>
              <w:lang w:val="en-US"/>
              <w14:ligatures w14:val="standardContextual"/>
            </w:rPr>
          </w:pPr>
          <w:hyperlink w:anchor="_Toc227072323" w:history="1">
            <w:r w:rsidRPr="003C0DCA">
              <w:rPr>
                <w:rStyle w:val="Hyperlink"/>
              </w:rPr>
              <w:t xml:space="preserve">2. </w:t>
            </w:r>
            <w:r>
              <w:rPr>
                <w:rFonts w:asciiTheme="minorHAnsi" w:eastAsiaTheme="minorEastAsia" w:hAnsiTheme="minorHAnsi"/>
                <w:b w:val="0"/>
                <w:bCs w:val="0"/>
                <w:kern w:val="2"/>
                <w:lang w:val="en-US"/>
                <w14:ligatures w14:val="standardContextual"/>
              </w:rPr>
              <w:tab/>
            </w:r>
            <w:r w:rsidRPr="003C0DCA">
              <w:rPr>
                <w:rStyle w:val="Hyperlink"/>
              </w:rPr>
              <w:t>Laws, Regulations, Policies and Guidelines Applied</w:t>
            </w:r>
            <w:r>
              <w:rPr>
                <w:webHidden/>
              </w:rPr>
              <w:tab/>
            </w:r>
            <w:r>
              <w:rPr>
                <w:webHidden/>
              </w:rPr>
              <w:fldChar w:fldCharType="begin"/>
            </w:r>
            <w:r>
              <w:rPr>
                <w:webHidden/>
              </w:rPr>
              <w:instrText xml:space="preserve"> PAGEREF _Toc227072323 \h </w:instrText>
            </w:r>
            <w:r>
              <w:rPr>
                <w:webHidden/>
              </w:rPr>
            </w:r>
            <w:r>
              <w:rPr>
                <w:webHidden/>
              </w:rPr>
              <w:fldChar w:fldCharType="separate"/>
            </w:r>
            <w:r w:rsidR="005D56D8">
              <w:rPr>
                <w:webHidden/>
              </w:rPr>
              <w:t>4</w:t>
            </w:r>
            <w:r>
              <w:rPr>
                <w:webHidden/>
              </w:rPr>
              <w:fldChar w:fldCharType="end"/>
            </w:r>
          </w:hyperlink>
        </w:p>
        <w:p w14:paraId="45704D54" w14:textId="687718B9" w:rsidR="006834A3" w:rsidRDefault="006834A3">
          <w:pPr>
            <w:pStyle w:val="TOC1"/>
            <w:rPr>
              <w:rFonts w:asciiTheme="minorHAnsi" w:eastAsiaTheme="minorEastAsia" w:hAnsiTheme="minorHAnsi"/>
              <w:b w:val="0"/>
              <w:bCs w:val="0"/>
              <w:kern w:val="2"/>
              <w:lang w:val="en-US"/>
              <w14:ligatures w14:val="standardContextual"/>
            </w:rPr>
          </w:pPr>
          <w:hyperlink w:anchor="_Toc227072324" w:history="1">
            <w:r w:rsidRPr="003C0DCA">
              <w:rPr>
                <w:rStyle w:val="Hyperlink"/>
              </w:rPr>
              <w:t xml:space="preserve">3. </w:t>
            </w:r>
            <w:r>
              <w:rPr>
                <w:rFonts w:asciiTheme="minorHAnsi" w:eastAsiaTheme="minorEastAsia" w:hAnsiTheme="minorHAnsi"/>
                <w:b w:val="0"/>
                <w:bCs w:val="0"/>
                <w:kern w:val="2"/>
                <w:lang w:val="en-US"/>
                <w14:ligatures w14:val="standardContextual"/>
              </w:rPr>
              <w:tab/>
            </w:r>
            <w:r w:rsidRPr="003C0DCA">
              <w:rPr>
                <w:rStyle w:val="Hyperlink"/>
              </w:rPr>
              <w:t>Definitions and Abbreviations</w:t>
            </w:r>
            <w:r>
              <w:rPr>
                <w:webHidden/>
              </w:rPr>
              <w:tab/>
            </w:r>
            <w:r>
              <w:rPr>
                <w:webHidden/>
              </w:rPr>
              <w:fldChar w:fldCharType="begin"/>
            </w:r>
            <w:r>
              <w:rPr>
                <w:webHidden/>
              </w:rPr>
              <w:instrText xml:space="preserve"> PAGEREF _Toc227072324 \h </w:instrText>
            </w:r>
            <w:r>
              <w:rPr>
                <w:webHidden/>
              </w:rPr>
            </w:r>
            <w:r>
              <w:rPr>
                <w:webHidden/>
              </w:rPr>
              <w:fldChar w:fldCharType="separate"/>
            </w:r>
            <w:r w:rsidR="005D56D8">
              <w:rPr>
                <w:webHidden/>
              </w:rPr>
              <w:t>5</w:t>
            </w:r>
            <w:r>
              <w:rPr>
                <w:webHidden/>
              </w:rPr>
              <w:fldChar w:fldCharType="end"/>
            </w:r>
          </w:hyperlink>
        </w:p>
        <w:p w14:paraId="005372E0" w14:textId="5D86871A" w:rsidR="006834A3" w:rsidRDefault="006834A3">
          <w:pPr>
            <w:pStyle w:val="TOC2"/>
            <w:tabs>
              <w:tab w:val="left" w:pos="960"/>
            </w:tabs>
            <w:rPr>
              <w:rFonts w:asciiTheme="minorHAnsi" w:eastAsiaTheme="minorEastAsia" w:hAnsiTheme="minorHAnsi"/>
              <w:kern w:val="2"/>
              <w:lang w:val="en-US"/>
              <w14:ligatures w14:val="standardContextual"/>
            </w:rPr>
          </w:pPr>
          <w:hyperlink w:anchor="_Toc227072325" w:history="1">
            <w:r w:rsidRPr="003C0DCA">
              <w:rPr>
                <w:rStyle w:val="Hyperlink"/>
                <w:b/>
                <w:bCs/>
              </w:rPr>
              <w:t xml:space="preserve">3.1 </w:t>
            </w:r>
            <w:r>
              <w:rPr>
                <w:rFonts w:asciiTheme="minorHAnsi" w:eastAsiaTheme="minorEastAsia" w:hAnsiTheme="minorHAnsi"/>
                <w:kern w:val="2"/>
                <w:lang w:val="en-US"/>
                <w14:ligatures w14:val="standardContextual"/>
              </w:rPr>
              <w:tab/>
            </w:r>
            <w:r w:rsidRPr="003C0DCA">
              <w:rPr>
                <w:rStyle w:val="Hyperlink"/>
                <w:b/>
                <w:bCs/>
              </w:rPr>
              <w:t>Definitions</w:t>
            </w:r>
            <w:r>
              <w:rPr>
                <w:webHidden/>
              </w:rPr>
              <w:tab/>
            </w:r>
            <w:r>
              <w:rPr>
                <w:webHidden/>
              </w:rPr>
              <w:fldChar w:fldCharType="begin"/>
            </w:r>
            <w:r>
              <w:rPr>
                <w:webHidden/>
              </w:rPr>
              <w:instrText xml:space="preserve"> PAGEREF _Toc227072325 \h </w:instrText>
            </w:r>
            <w:r>
              <w:rPr>
                <w:webHidden/>
              </w:rPr>
            </w:r>
            <w:r>
              <w:rPr>
                <w:webHidden/>
              </w:rPr>
              <w:fldChar w:fldCharType="separate"/>
            </w:r>
            <w:r w:rsidR="005D56D8">
              <w:rPr>
                <w:webHidden/>
              </w:rPr>
              <w:t>5</w:t>
            </w:r>
            <w:r>
              <w:rPr>
                <w:webHidden/>
              </w:rPr>
              <w:fldChar w:fldCharType="end"/>
            </w:r>
          </w:hyperlink>
        </w:p>
        <w:p w14:paraId="1C6AA94F" w14:textId="2EC1C90F" w:rsidR="006834A3" w:rsidRDefault="006834A3">
          <w:pPr>
            <w:pStyle w:val="TOC2"/>
            <w:tabs>
              <w:tab w:val="left" w:pos="960"/>
            </w:tabs>
            <w:rPr>
              <w:rFonts w:asciiTheme="minorHAnsi" w:eastAsiaTheme="minorEastAsia" w:hAnsiTheme="minorHAnsi"/>
              <w:kern w:val="2"/>
              <w:lang w:val="en-US"/>
              <w14:ligatures w14:val="standardContextual"/>
            </w:rPr>
          </w:pPr>
          <w:hyperlink w:anchor="_Toc227072326" w:history="1">
            <w:r w:rsidRPr="003C0DCA">
              <w:rPr>
                <w:rStyle w:val="Hyperlink"/>
                <w:b/>
                <w:bCs/>
              </w:rPr>
              <w:t xml:space="preserve">3.2 </w:t>
            </w:r>
            <w:r>
              <w:rPr>
                <w:rFonts w:asciiTheme="minorHAnsi" w:eastAsiaTheme="minorEastAsia" w:hAnsiTheme="minorHAnsi"/>
                <w:kern w:val="2"/>
                <w:lang w:val="en-US"/>
                <w14:ligatures w14:val="standardContextual"/>
              </w:rPr>
              <w:tab/>
            </w:r>
            <w:r w:rsidRPr="003C0DCA">
              <w:rPr>
                <w:rStyle w:val="Hyperlink"/>
                <w:b/>
                <w:bCs/>
              </w:rPr>
              <w:t>Abbreviations</w:t>
            </w:r>
            <w:r>
              <w:rPr>
                <w:webHidden/>
              </w:rPr>
              <w:tab/>
            </w:r>
            <w:r>
              <w:rPr>
                <w:webHidden/>
              </w:rPr>
              <w:fldChar w:fldCharType="begin"/>
            </w:r>
            <w:r>
              <w:rPr>
                <w:webHidden/>
              </w:rPr>
              <w:instrText xml:space="preserve"> PAGEREF _Toc227072326 \h </w:instrText>
            </w:r>
            <w:r>
              <w:rPr>
                <w:webHidden/>
              </w:rPr>
            </w:r>
            <w:r>
              <w:rPr>
                <w:webHidden/>
              </w:rPr>
              <w:fldChar w:fldCharType="separate"/>
            </w:r>
            <w:r w:rsidR="005D56D8">
              <w:rPr>
                <w:webHidden/>
              </w:rPr>
              <w:t>5</w:t>
            </w:r>
            <w:r>
              <w:rPr>
                <w:webHidden/>
              </w:rPr>
              <w:fldChar w:fldCharType="end"/>
            </w:r>
          </w:hyperlink>
        </w:p>
        <w:p w14:paraId="42EDFC70" w14:textId="5B4B08A2" w:rsidR="006834A3" w:rsidRDefault="006834A3">
          <w:pPr>
            <w:pStyle w:val="TOC1"/>
            <w:rPr>
              <w:rFonts w:asciiTheme="minorHAnsi" w:eastAsiaTheme="minorEastAsia" w:hAnsiTheme="minorHAnsi"/>
              <w:b w:val="0"/>
              <w:bCs w:val="0"/>
              <w:kern w:val="2"/>
              <w:lang w:val="en-US"/>
              <w14:ligatures w14:val="standardContextual"/>
            </w:rPr>
          </w:pPr>
          <w:hyperlink w:anchor="_Toc227072327" w:history="1">
            <w:r w:rsidRPr="003C0DCA">
              <w:rPr>
                <w:rStyle w:val="Hyperlink"/>
              </w:rPr>
              <w:t>4</w:t>
            </w:r>
            <w:r>
              <w:rPr>
                <w:rFonts w:asciiTheme="minorHAnsi" w:eastAsiaTheme="minorEastAsia" w:hAnsiTheme="minorHAnsi"/>
                <w:b w:val="0"/>
                <w:bCs w:val="0"/>
                <w:kern w:val="2"/>
                <w:lang w:val="en-US"/>
                <w14:ligatures w14:val="standardContextual"/>
              </w:rPr>
              <w:tab/>
            </w:r>
            <w:r w:rsidRPr="003C0DCA">
              <w:rPr>
                <w:rStyle w:val="Hyperlink"/>
              </w:rPr>
              <w:t>Scope</w:t>
            </w:r>
            <w:r>
              <w:rPr>
                <w:webHidden/>
              </w:rPr>
              <w:tab/>
            </w:r>
            <w:r>
              <w:rPr>
                <w:webHidden/>
              </w:rPr>
              <w:fldChar w:fldCharType="begin"/>
            </w:r>
            <w:r>
              <w:rPr>
                <w:webHidden/>
              </w:rPr>
              <w:instrText xml:space="preserve"> PAGEREF _Toc227072327 \h </w:instrText>
            </w:r>
            <w:r>
              <w:rPr>
                <w:webHidden/>
              </w:rPr>
            </w:r>
            <w:r>
              <w:rPr>
                <w:webHidden/>
              </w:rPr>
              <w:fldChar w:fldCharType="separate"/>
            </w:r>
            <w:r w:rsidR="005D56D8">
              <w:rPr>
                <w:webHidden/>
              </w:rPr>
              <w:t>5</w:t>
            </w:r>
            <w:r>
              <w:rPr>
                <w:webHidden/>
              </w:rPr>
              <w:fldChar w:fldCharType="end"/>
            </w:r>
          </w:hyperlink>
        </w:p>
        <w:p w14:paraId="3EFA3A84" w14:textId="57569632" w:rsidR="006834A3" w:rsidRDefault="006834A3">
          <w:pPr>
            <w:pStyle w:val="TOC1"/>
            <w:rPr>
              <w:rFonts w:asciiTheme="minorHAnsi" w:eastAsiaTheme="minorEastAsia" w:hAnsiTheme="minorHAnsi"/>
              <w:b w:val="0"/>
              <w:bCs w:val="0"/>
              <w:kern w:val="2"/>
              <w:lang w:val="en-US"/>
              <w14:ligatures w14:val="standardContextual"/>
            </w:rPr>
          </w:pPr>
          <w:hyperlink w:anchor="_Toc227072328" w:history="1">
            <w:r w:rsidRPr="003C0DCA">
              <w:rPr>
                <w:rStyle w:val="Hyperlink"/>
              </w:rPr>
              <w:t xml:space="preserve">5. </w:t>
            </w:r>
            <w:r>
              <w:rPr>
                <w:rFonts w:asciiTheme="minorHAnsi" w:eastAsiaTheme="minorEastAsia" w:hAnsiTheme="minorHAnsi"/>
                <w:b w:val="0"/>
                <w:bCs w:val="0"/>
                <w:kern w:val="2"/>
                <w:lang w:val="en-US"/>
                <w14:ligatures w14:val="standardContextual"/>
              </w:rPr>
              <w:tab/>
            </w:r>
            <w:r w:rsidRPr="003C0DCA">
              <w:rPr>
                <w:rStyle w:val="Hyperlink"/>
              </w:rPr>
              <w:t>Guidelines for Operating a Standalone Pharmacy</w:t>
            </w:r>
            <w:r>
              <w:rPr>
                <w:webHidden/>
              </w:rPr>
              <w:tab/>
            </w:r>
            <w:r>
              <w:rPr>
                <w:webHidden/>
              </w:rPr>
              <w:fldChar w:fldCharType="begin"/>
            </w:r>
            <w:r>
              <w:rPr>
                <w:webHidden/>
              </w:rPr>
              <w:instrText xml:space="preserve"> PAGEREF _Toc227072328 \h </w:instrText>
            </w:r>
            <w:r>
              <w:rPr>
                <w:webHidden/>
              </w:rPr>
            </w:r>
            <w:r>
              <w:rPr>
                <w:webHidden/>
              </w:rPr>
              <w:fldChar w:fldCharType="separate"/>
            </w:r>
            <w:r w:rsidR="005D56D8">
              <w:rPr>
                <w:webHidden/>
              </w:rPr>
              <w:t>6</w:t>
            </w:r>
            <w:r>
              <w:rPr>
                <w:webHidden/>
              </w:rPr>
              <w:fldChar w:fldCharType="end"/>
            </w:r>
          </w:hyperlink>
        </w:p>
        <w:p w14:paraId="20A3AE06" w14:textId="5FB67BFC" w:rsidR="006834A3" w:rsidRDefault="006834A3">
          <w:pPr>
            <w:pStyle w:val="TOC2"/>
            <w:tabs>
              <w:tab w:val="left" w:pos="960"/>
            </w:tabs>
            <w:rPr>
              <w:rFonts w:asciiTheme="minorHAnsi" w:eastAsiaTheme="minorEastAsia" w:hAnsiTheme="minorHAnsi"/>
              <w:kern w:val="2"/>
              <w:lang w:val="en-US"/>
              <w14:ligatures w14:val="standardContextual"/>
            </w:rPr>
          </w:pPr>
          <w:hyperlink w:anchor="_Toc227072329" w:history="1">
            <w:r w:rsidRPr="003C0DCA">
              <w:rPr>
                <w:rStyle w:val="Hyperlink"/>
                <w:b/>
              </w:rPr>
              <w:t>5.1</w:t>
            </w:r>
            <w:r>
              <w:rPr>
                <w:rFonts w:asciiTheme="minorHAnsi" w:eastAsiaTheme="minorEastAsia" w:hAnsiTheme="minorHAnsi"/>
                <w:kern w:val="2"/>
                <w:lang w:val="en-US"/>
                <w14:ligatures w14:val="standardContextual"/>
              </w:rPr>
              <w:tab/>
            </w:r>
            <w:r w:rsidRPr="003C0DCA">
              <w:rPr>
                <w:rStyle w:val="Hyperlink"/>
                <w:b/>
                <w:bCs/>
              </w:rPr>
              <w:t>Submission requirements</w:t>
            </w:r>
            <w:r>
              <w:rPr>
                <w:webHidden/>
              </w:rPr>
              <w:tab/>
            </w:r>
            <w:r>
              <w:rPr>
                <w:webHidden/>
              </w:rPr>
              <w:fldChar w:fldCharType="begin"/>
            </w:r>
            <w:r>
              <w:rPr>
                <w:webHidden/>
              </w:rPr>
              <w:instrText xml:space="preserve"> PAGEREF _Toc227072329 \h </w:instrText>
            </w:r>
            <w:r>
              <w:rPr>
                <w:webHidden/>
              </w:rPr>
            </w:r>
            <w:r>
              <w:rPr>
                <w:webHidden/>
              </w:rPr>
              <w:fldChar w:fldCharType="separate"/>
            </w:r>
            <w:r w:rsidR="005D56D8">
              <w:rPr>
                <w:webHidden/>
              </w:rPr>
              <w:t>6</w:t>
            </w:r>
            <w:r>
              <w:rPr>
                <w:webHidden/>
              </w:rPr>
              <w:fldChar w:fldCharType="end"/>
            </w:r>
          </w:hyperlink>
        </w:p>
        <w:p w14:paraId="4257EE60" w14:textId="237AC84B" w:rsidR="006834A3" w:rsidRDefault="006834A3">
          <w:pPr>
            <w:pStyle w:val="TOC2"/>
            <w:rPr>
              <w:rFonts w:asciiTheme="minorHAnsi" w:eastAsiaTheme="minorEastAsia" w:hAnsiTheme="minorHAnsi"/>
              <w:kern w:val="2"/>
              <w:lang w:val="en-US"/>
              <w14:ligatures w14:val="standardContextual"/>
            </w:rPr>
          </w:pPr>
          <w:hyperlink w:anchor="_Toc227072330" w:history="1">
            <w:r w:rsidRPr="003C0DCA">
              <w:rPr>
                <w:rStyle w:val="Hyperlink"/>
                <w:rFonts w:eastAsiaTheme="majorEastAsia" w:cstheme="majorBidi"/>
                <w:b/>
                <w:bCs/>
              </w:rPr>
              <w:t>Application requirements and procedure</w:t>
            </w:r>
            <w:r>
              <w:rPr>
                <w:webHidden/>
              </w:rPr>
              <w:tab/>
            </w:r>
            <w:r>
              <w:rPr>
                <w:webHidden/>
              </w:rPr>
              <w:fldChar w:fldCharType="begin"/>
            </w:r>
            <w:r>
              <w:rPr>
                <w:webHidden/>
              </w:rPr>
              <w:instrText xml:space="preserve"> PAGEREF _Toc227072330 \h </w:instrText>
            </w:r>
            <w:r>
              <w:rPr>
                <w:webHidden/>
              </w:rPr>
            </w:r>
            <w:r>
              <w:rPr>
                <w:webHidden/>
              </w:rPr>
              <w:fldChar w:fldCharType="separate"/>
            </w:r>
            <w:r w:rsidR="005D56D8">
              <w:rPr>
                <w:webHidden/>
              </w:rPr>
              <w:t>6</w:t>
            </w:r>
            <w:r>
              <w:rPr>
                <w:webHidden/>
              </w:rPr>
              <w:fldChar w:fldCharType="end"/>
            </w:r>
          </w:hyperlink>
        </w:p>
        <w:p w14:paraId="4260BCAE" w14:textId="689713ED" w:rsidR="006834A3" w:rsidRDefault="006834A3">
          <w:pPr>
            <w:pStyle w:val="TOC1"/>
            <w:rPr>
              <w:rFonts w:asciiTheme="minorHAnsi" w:eastAsiaTheme="minorEastAsia" w:hAnsiTheme="minorHAnsi"/>
              <w:b w:val="0"/>
              <w:bCs w:val="0"/>
              <w:kern w:val="2"/>
              <w:lang w:val="en-US"/>
              <w14:ligatures w14:val="standardContextual"/>
            </w:rPr>
          </w:pPr>
          <w:hyperlink w:anchor="_Toc227072331" w:history="1">
            <w:r w:rsidRPr="003C0DCA">
              <w:rPr>
                <w:rStyle w:val="Hyperlink"/>
                <w:rFonts w:eastAsiaTheme="majorEastAsia" w:cstheme="majorBidi"/>
              </w:rPr>
              <w:t>6</w:t>
            </w:r>
            <w:r>
              <w:rPr>
                <w:rFonts w:asciiTheme="minorHAnsi" w:eastAsiaTheme="minorEastAsia" w:hAnsiTheme="minorHAnsi"/>
                <w:b w:val="0"/>
                <w:bCs w:val="0"/>
                <w:kern w:val="2"/>
                <w:lang w:val="en-US"/>
                <w14:ligatures w14:val="standardContextual"/>
              </w:rPr>
              <w:tab/>
            </w:r>
            <w:r w:rsidRPr="003C0DCA">
              <w:rPr>
                <w:rStyle w:val="Hyperlink"/>
                <w:rFonts w:eastAsiaTheme="majorEastAsia" w:cstheme="majorBidi"/>
              </w:rPr>
              <w:t>Suspension and Withdrawal</w:t>
            </w:r>
            <w:r>
              <w:rPr>
                <w:webHidden/>
              </w:rPr>
              <w:tab/>
            </w:r>
            <w:r>
              <w:rPr>
                <w:webHidden/>
              </w:rPr>
              <w:fldChar w:fldCharType="begin"/>
            </w:r>
            <w:r>
              <w:rPr>
                <w:webHidden/>
              </w:rPr>
              <w:instrText xml:space="preserve"> PAGEREF _Toc227072331 \h </w:instrText>
            </w:r>
            <w:r>
              <w:rPr>
                <w:webHidden/>
              </w:rPr>
            </w:r>
            <w:r>
              <w:rPr>
                <w:webHidden/>
              </w:rPr>
              <w:fldChar w:fldCharType="separate"/>
            </w:r>
            <w:r w:rsidR="005D56D8">
              <w:rPr>
                <w:webHidden/>
              </w:rPr>
              <w:t>10</w:t>
            </w:r>
            <w:r>
              <w:rPr>
                <w:webHidden/>
              </w:rPr>
              <w:fldChar w:fldCharType="end"/>
            </w:r>
          </w:hyperlink>
        </w:p>
        <w:p w14:paraId="143336F4" w14:textId="06E46C94" w:rsidR="006834A3" w:rsidRDefault="006834A3">
          <w:pPr>
            <w:pStyle w:val="TOC1"/>
            <w:rPr>
              <w:rFonts w:asciiTheme="minorHAnsi" w:eastAsiaTheme="minorEastAsia" w:hAnsiTheme="minorHAnsi"/>
              <w:b w:val="0"/>
              <w:bCs w:val="0"/>
              <w:kern w:val="2"/>
              <w:lang w:val="en-US"/>
              <w14:ligatures w14:val="standardContextual"/>
            </w:rPr>
          </w:pPr>
          <w:hyperlink w:anchor="_Toc227072332" w:history="1">
            <w:r w:rsidRPr="003C0DCA">
              <w:rPr>
                <w:rStyle w:val="Hyperlink"/>
                <w:rFonts w:cs="Calibri"/>
              </w:rPr>
              <w:t>7</w:t>
            </w:r>
            <w:r>
              <w:rPr>
                <w:rFonts w:asciiTheme="minorHAnsi" w:eastAsiaTheme="minorEastAsia" w:hAnsiTheme="minorHAnsi"/>
                <w:b w:val="0"/>
                <w:bCs w:val="0"/>
                <w:kern w:val="2"/>
                <w:lang w:val="en-US"/>
                <w14:ligatures w14:val="standardContextual"/>
              </w:rPr>
              <w:tab/>
            </w:r>
            <w:r w:rsidRPr="003C0DCA">
              <w:rPr>
                <w:rStyle w:val="Hyperlink"/>
                <w:rFonts w:eastAsiaTheme="majorEastAsia" w:cstheme="majorBidi"/>
              </w:rPr>
              <w:t>Personnel and management</w:t>
            </w:r>
            <w:r>
              <w:rPr>
                <w:webHidden/>
              </w:rPr>
              <w:tab/>
            </w:r>
            <w:r>
              <w:rPr>
                <w:webHidden/>
              </w:rPr>
              <w:fldChar w:fldCharType="begin"/>
            </w:r>
            <w:r>
              <w:rPr>
                <w:webHidden/>
              </w:rPr>
              <w:instrText xml:space="preserve"> PAGEREF _Toc227072332 \h </w:instrText>
            </w:r>
            <w:r>
              <w:rPr>
                <w:webHidden/>
              </w:rPr>
            </w:r>
            <w:r>
              <w:rPr>
                <w:webHidden/>
              </w:rPr>
              <w:fldChar w:fldCharType="separate"/>
            </w:r>
            <w:r w:rsidR="005D56D8">
              <w:rPr>
                <w:webHidden/>
              </w:rPr>
              <w:t>11</w:t>
            </w:r>
            <w:r>
              <w:rPr>
                <w:webHidden/>
              </w:rPr>
              <w:fldChar w:fldCharType="end"/>
            </w:r>
          </w:hyperlink>
        </w:p>
        <w:p w14:paraId="0BCFFD05" w14:textId="2F4C331C" w:rsidR="006834A3" w:rsidRDefault="006834A3">
          <w:pPr>
            <w:pStyle w:val="TOC2"/>
            <w:tabs>
              <w:tab w:val="left" w:pos="720"/>
            </w:tabs>
            <w:rPr>
              <w:rFonts w:asciiTheme="minorHAnsi" w:eastAsiaTheme="minorEastAsia" w:hAnsiTheme="minorHAnsi"/>
              <w:kern w:val="2"/>
              <w:lang w:val="en-US"/>
              <w14:ligatures w14:val="standardContextual"/>
            </w:rPr>
          </w:pPr>
          <w:hyperlink w:anchor="_Toc227072333" w:history="1">
            <w:r w:rsidRPr="003C0DCA">
              <w:rPr>
                <w:rStyle w:val="Hyperlink"/>
                <w:b/>
                <w:bCs/>
              </w:rPr>
              <w:t>8.</w:t>
            </w:r>
            <w:r>
              <w:rPr>
                <w:rFonts w:asciiTheme="minorHAnsi" w:eastAsiaTheme="minorEastAsia" w:hAnsiTheme="minorHAnsi"/>
                <w:kern w:val="2"/>
                <w:lang w:val="en-US"/>
                <w14:ligatures w14:val="standardContextual"/>
              </w:rPr>
              <w:tab/>
            </w:r>
            <w:r w:rsidRPr="003C0DCA">
              <w:rPr>
                <w:rStyle w:val="Hyperlink"/>
                <w:b/>
                <w:bCs/>
              </w:rPr>
              <w:t>Premises</w:t>
            </w:r>
            <w:r>
              <w:rPr>
                <w:webHidden/>
              </w:rPr>
              <w:tab/>
            </w:r>
            <w:r>
              <w:rPr>
                <w:webHidden/>
              </w:rPr>
              <w:fldChar w:fldCharType="begin"/>
            </w:r>
            <w:r>
              <w:rPr>
                <w:webHidden/>
              </w:rPr>
              <w:instrText xml:space="preserve"> PAGEREF _Toc227072333 \h </w:instrText>
            </w:r>
            <w:r>
              <w:rPr>
                <w:webHidden/>
              </w:rPr>
            </w:r>
            <w:r>
              <w:rPr>
                <w:webHidden/>
              </w:rPr>
              <w:fldChar w:fldCharType="separate"/>
            </w:r>
            <w:r w:rsidR="005D56D8">
              <w:rPr>
                <w:webHidden/>
              </w:rPr>
              <w:t>12</w:t>
            </w:r>
            <w:r>
              <w:rPr>
                <w:webHidden/>
              </w:rPr>
              <w:fldChar w:fldCharType="end"/>
            </w:r>
          </w:hyperlink>
        </w:p>
        <w:p w14:paraId="452A5C24" w14:textId="679901BF" w:rsidR="006834A3" w:rsidRDefault="006834A3">
          <w:pPr>
            <w:pStyle w:val="TOC2"/>
            <w:rPr>
              <w:rFonts w:asciiTheme="minorHAnsi" w:eastAsiaTheme="minorEastAsia" w:hAnsiTheme="minorHAnsi"/>
              <w:kern w:val="2"/>
              <w:lang w:val="en-US"/>
              <w14:ligatures w14:val="standardContextual"/>
            </w:rPr>
          </w:pPr>
          <w:hyperlink w:anchor="_Toc227072334" w:history="1">
            <w:r w:rsidRPr="003C0DCA">
              <w:rPr>
                <w:rStyle w:val="Hyperlink"/>
                <w:rFonts w:eastAsiaTheme="majorEastAsia" w:cstheme="majorBidi"/>
                <w:b/>
              </w:rPr>
              <w:t>8.1 Premises — General Requirements</w:t>
            </w:r>
            <w:r>
              <w:rPr>
                <w:webHidden/>
              </w:rPr>
              <w:tab/>
            </w:r>
            <w:r>
              <w:rPr>
                <w:webHidden/>
              </w:rPr>
              <w:fldChar w:fldCharType="begin"/>
            </w:r>
            <w:r>
              <w:rPr>
                <w:webHidden/>
              </w:rPr>
              <w:instrText xml:space="preserve"> PAGEREF _Toc227072334 \h </w:instrText>
            </w:r>
            <w:r>
              <w:rPr>
                <w:webHidden/>
              </w:rPr>
            </w:r>
            <w:r>
              <w:rPr>
                <w:webHidden/>
              </w:rPr>
              <w:fldChar w:fldCharType="separate"/>
            </w:r>
            <w:r w:rsidR="005D56D8">
              <w:rPr>
                <w:webHidden/>
              </w:rPr>
              <w:t>12</w:t>
            </w:r>
            <w:r>
              <w:rPr>
                <w:webHidden/>
              </w:rPr>
              <w:fldChar w:fldCharType="end"/>
            </w:r>
          </w:hyperlink>
        </w:p>
        <w:p w14:paraId="051DBB2E" w14:textId="2E6B3031" w:rsidR="006834A3" w:rsidRDefault="006834A3">
          <w:pPr>
            <w:pStyle w:val="TOC2"/>
            <w:rPr>
              <w:rFonts w:asciiTheme="minorHAnsi" w:eastAsiaTheme="minorEastAsia" w:hAnsiTheme="minorHAnsi"/>
              <w:kern w:val="2"/>
              <w:lang w:val="en-US"/>
              <w14:ligatures w14:val="standardContextual"/>
            </w:rPr>
          </w:pPr>
          <w:hyperlink w:anchor="_Toc227072335" w:history="1">
            <w:r w:rsidRPr="003C0DCA">
              <w:rPr>
                <w:rStyle w:val="Hyperlink"/>
                <w:rFonts w:eastAsiaTheme="majorEastAsia" w:cstheme="majorBidi"/>
                <w:b/>
                <w:bCs/>
              </w:rPr>
              <w:t>8.3 Controlled Substances</w:t>
            </w:r>
            <w:r>
              <w:rPr>
                <w:webHidden/>
              </w:rPr>
              <w:tab/>
            </w:r>
            <w:r>
              <w:rPr>
                <w:webHidden/>
              </w:rPr>
              <w:fldChar w:fldCharType="begin"/>
            </w:r>
            <w:r>
              <w:rPr>
                <w:webHidden/>
              </w:rPr>
              <w:instrText xml:space="preserve"> PAGEREF _Toc227072335 \h </w:instrText>
            </w:r>
            <w:r>
              <w:rPr>
                <w:webHidden/>
              </w:rPr>
            </w:r>
            <w:r>
              <w:rPr>
                <w:webHidden/>
              </w:rPr>
              <w:fldChar w:fldCharType="separate"/>
            </w:r>
            <w:r w:rsidR="005D56D8">
              <w:rPr>
                <w:webHidden/>
              </w:rPr>
              <w:t>14</w:t>
            </w:r>
            <w:r>
              <w:rPr>
                <w:webHidden/>
              </w:rPr>
              <w:fldChar w:fldCharType="end"/>
            </w:r>
          </w:hyperlink>
        </w:p>
        <w:p w14:paraId="60A28EFA" w14:textId="50FE946D" w:rsidR="006834A3" w:rsidRDefault="006834A3">
          <w:pPr>
            <w:pStyle w:val="TOC2"/>
            <w:tabs>
              <w:tab w:val="left" w:pos="960"/>
            </w:tabs>
            <w:rPr>
              <w:rFonts w:asciiTheme="minorHAnsi" w:eastAsiaTheme="minorEastAsia" w:hAnsiTheme="minorHAnsi"/>
              <w:kern w:val="2"/>
              <w:lang w:val="en-US"/>
              <w14:ligatures w14:val="standardContextual"/>
            </w:rPr>
          </w:pPr>
          <w:hyperlink w:anchor="_Toc227072336" w:history="1">
            <w:r w:rsidRPr="003C0DCA">
              <w:rPr>
                <w:rStyle w:val="Hyperlink"/>
                <w:b/>
                <w:bCs/>
              </w:rPr>
              <w:t xml:space="preserve">9.  </w:t>
            </w:r>
            <w:r>
              <w:rPr>
                <w:rFonts w:asciiTheme="minorHAnsi" w:eastAsiaTheme="minorEastAsia" w:hAnsiTheme="minorHAnsi"/>
                <w:kern w:val="2"/>
                <w:lang w:val="en-US"/>
                <w14:ligatures w14:val="standardContextual"/>
              </w:rPr>
              <w:tab/>
            </w:r>
            <w:r w:rsidRPr="003C0DCA">
              <w:rPr>
                <w:rStyle w:val="Hyperlink"/>
                <w:b/>
                <w:bCs/>
              </w:rPr>
              <w:t>Documentation and Procedures</w:t>
            </w:r>
            <w:r>
              <w:rPr>
                <w:webHidden/>
              </w:rPr>
              <w:tab/>
            </w:r>
            <w:r>
              <w:rPr>
                <w:webHidden/>
              </w:rPr>
              <w:fldChar w:fldCharType="begin"/>
            </w:r>
            <w:r>
              <w:rPr>
                <w:webHidden/>
              </w:rPr>
              <w:instrText xml:space="preserve"> PAGEREF _Toc227072336 \h </w:instrText>
            </w:r>
            <w:r>
              <w:rPr>
                <w:webHidden/>
              </w:rPr>
            </w:r>
            <w:r>
              <w:rPr>
                <w:webHidden/>
              </w:rPr>
              <w:fldChar w:fldCharType="separate"/>
            </w:r>
            <w:r w:rsidR="005D56D8">
              <w:rPr>
                <w:webHidden/>
              </w:rPr>
              <w:t>14</w:t>
            </w:r>
            <w:r>
              <w:rPr>
                <w:webHidden/>
              </w:rPr>
              <w:fldChar w:fldCharType="end"/>
            </w:r>
          </w:hyperlink>
        </w:p>
        <w:p w14:paraId="575400A9" w14:textId="44AEF521" w:rsidR="006834A3" w:rsidRDefault="006834A3">
          <w:pPr>
            <w:pStyle w:val="TOC2"/>
            <w:rPr>
              <w:rFonts w:asciiTheme="minorHAnsi" w:eastAsiaTheme="minorEastAsia" w:hAnsiTheme="minorHAnsi"/>
              <w:kern w:val="2"/>
              <w:lang w:val="en-US"/>
              <w14:ligatures w14:val="standardContextual"/>
            </w:rPr>
          </w:pPr>
          <w:hyperlink w:anchor="_Toc227072337" w:history="1">
            <w:r w:rsidRPr="003C0DCA">
              <w:rPr>
                <w:rStyle w:val="Hyperlink"/>
                <w:rFonts w:eastAsiaTheme="majorEastAsia" w:cstheme="majorBidi"/>
                <w:b/>
              </w:rPr>
              <w:t>9.2 Standard Operating Procedures</w:t>
            </w:r>
            <w:r>
              <w:rPr>
                <w:webHidden/>
              </w:rPr>
              <w:tab/>
            </w:r>
            <w:r>
              <w:rPr>
                <w:webHidden/>
              </w:rPr>
              <w:fldChar w:fldCharType="begin"/>
            </w:r>
            <w:r>
              <w:rPr>
                <w:webHidden/>
              </w:rPr>
              <w:instrText xml:space="preserve"> PAGEREF _Toc227072337 \h </w:instrText>
            </w:r>
            <w:r>
              <w:rPr>
                <w:webHidden/>
              </w:rPr>
            </w:r>
            <w:r>
              <w:rPr>
                <w:webHidden/>
              </w:rPr>
              <w:fldChar w:fldCharType="separate"/>
            </w:r>
            <w:r w:rsidR="005D56D8">
              <w:rPr>
                <w:webHidden/>
              </w:rPr>
              <w:t>16</w:t>
            </w:r>
            <w:r>
              <w:rPr>
                <w:webHidden/>
              </w:rPr>
              <w:fldChar w:fldCharType="end"/>
            </w:r>
          </w:hyperlink>
        </w:p>
        <w:p w14:paraId="4CAA2631" w14:textId="7974A221" w:rsidR="006834A3" w:rsidRDefault="006834A3">
          <w:pPr>
            <w:pStyle w:val="TOC2"/>
            <w:tabs>
              <w:tab w:val="left" w:pos="960"/>
            </w:tabs>
            <w:rPr>
              <w:rFonts w:asciiTheme="minorHAnsi" w:eastAsiaTheme="minorEastAsia" w:hAnsiTheme="minorHAnsi"/>
              <w:kern w:val="2"/>
              <w:lang w:val="en-US"/>
              <w14:ligatures w14:val="standardContextual"/>
            </w:rPr>
          </w:pPr>
          <w:hyperlink w:anchor="_Toc227072338" w:history="1">
            <w:r w:rsidRPr="003C0DCA">
              <w:rPr>
                <w:rStyle w:val="Hyperlink"/>
                <w:b/>
                <w:bCs/>
              </w:rPr>
              <w:t xml:space="preserve">10 </w:t>
            </w:r>
            <w:r>
              <w:rPr>
                <w:rFonts w:asciiTheme="minorHAnsi" w:eastAsiaTheme="minorEastAsia" w:hAnsiTheme="minorHAnsi"/>
                <w:kern w:val="2"/>
                <w:lang w:val="en-US"/>
                <w14:ligatures w14:val="standardContextual"/>
              </w:rPr>
              <w:tab/>
            </w:r>
            <w:r w:rsidRPr="003C0DCA">
              <w:rPr>
                <w:rStyle w:val="Hyperlink"/>
                <w:b/>
                <w:bCs/>
              </w:rPr>
              <w:t>Reference Materials</w:t>
            </w:r>
            <w:r>
              <w:rPr>
                <w:webHidden/>
              </w:rPr>
              <w:tab/>
            </w:r>
            <w:r>
              <w:rPr>
                <w:webHidden/>
              </w:rPr>
              <w:fldChar w:fldCharType="begin"/>
            </w:r>
            <w:r>
              <w:rPr>
                <w:webHidden/>
              </w:rPr>
              <w:instrText xml:space="preserve"> PAGEREF _Toc227072338 \h </w:instrText>
            </w:r>
            <w:r>
              <w:rPr>
                <w:webHidden/>
              </w:rPr>
            </w:r>
            <w:r>
              <w:rPr>
                <w:webHidden/>
              </w:rPr>
              <w:fldChar w:fldCharType="separate"/>
            </w:r>
            <w:r w:rsidR="005D56D8">
              <w:rPr>
                <w:webHidden/>
              </w:rPr>
              <w:t>16</w:t>
            </w:r>
            <w:r>
              <w:rPr>
                <w:webHidden/>
              </w:rPr>
              <w:fldChar w:fldCharType="end"/>
            </w:r>
          </w:hyperlink>
        </w:p>
        <w:p w14:paraId="3687F4A0" w14:textId="7210F5C4" w:rsidR="006834A3" w:rsidRDefault="006834A3">
          <w:pPr>
            <w:pStyle w:val="TOC1"/>
            <w:rPr>
              <w:rFonts w:asciiTheme="minorHAnsi" w:eastAsiaTheme="minorEastAsia" w:hAnsiTheme="minorHAnsi"/>
              <w:b w:val="0"/>
              <w:bCs w:val="0"/>
              <w:kern w:val="2"/>
              <w:lang w:val="en-US"/>
              <w14:ligatures w14:val="standardContextual"/>
            </w:rPr>
          </w:pPr>
          <w:hyperlink w:anchor="_Toc227072339" w:history="1">
            <w:r w:rsidRPr="003C0DCA">
              <w:rPr>
                <w:rStyle w:val="Hyperlink"/>
              </w:rPr>
              <w:t xml:space="preserve">16. </w:t>
            </w:r>
            <w:r>
              <w:rPr>
                <w:rFonts w:asciiTheme="minorHAnsi" w:eastAsiaTheme="minorEastAsia" w:hAnsiTheme="minorHAnsi"/>
                <w:b w:val="0"/>
                <w:bCs w:val="0"/>
                <w:kern w:val="2"/>
                <w:lang w:val="en-US"/>
                <w14:ligatures w14:val="standardContextual"/>
              </w:rPr>
              <w:tab/>
            </w:r>
            <w:r w:rsidRPr="003C0DCA">
              <w:rPr>
                <w:rStyle w:val="Hyperlink"/>
              </w:rPr>
              <w:t>Related Documents</w:t>
            </w:r>
            <w:r>
              <w:rPr>
                <w:webHidden/>
              </w:rPr>
              <w:tab/>
            </w:r>
            <w:r>
              <w:rPr>
                <w:webHidden/>
              </w:rPr>
              <w:fldChar w:fldCharType="begin"/>
            </w:r>
            <w:r>
              <w:rPr>
                <w:webHidden/>
              </w:rPr>
              <w:instrText xml:space="preserve"> PAGEREF _Toc227072339 \h </w:instrText>
            </w:r>
            <w:r>
              <w:rPr>
                <w:webHidden/>
              </w:rPr>
            </w:r>
            <w:r>
              <w:rPr>
                <w:webHidden/>
              </w:rPr>
              <w:fldChar w:fldCharType="separate"/>
            </w:r>
            <w:r w:rsidR="005D56D8">
              <w:rPr>
                <w:webHidden/>
              </w:rPr>
              <w:t>17</w:t>
            </w:r>
            <w:r>
              <w:rPr>
                <w:webHidden/>
              </w:rPr>
              <w:fldChar w:fldCharType="end"/>
            </w:r>
          </w:hyperlink>
        </w:p>
        <w:p w14:paraId="5F98E7B6" w14:textId="77DFF14B" w:rsidR="00A0444B" w:rsidRPr="005B6405" w:rsidRDefault="00A0444B" w:rsidP="007D2C5C">
          <w:pPr>
            <w:pStyle w:val="TOC1"/>
            <w:rPr>
              <w:noProof w:val="0"/>
            </w:rPr>
          </w:pPr>
          <w:r w:rsidRPr="005B6405">
            <w:rPr>
              <w:noProof w:val="0"/>
            </w:rPr>
            <w:fldChar w:fldCharType="end"/>
          </w:r>
        </w:p>
      </w:sdtContent>
    </w:sdt>
    <w:p w14:paraId="66E55CCD" w14:textId="6B023066" w:rsidR="00DA543C" w:rsidRPr="005B6405" w:rsidRDefault="00DA543C"/>
    <w:p w14:paraId="3B63E321" w14:textId="77777777" w:rsidR="00A320F4" w:rsidRDefault="00A320F4"/>
    <w:p w14:paraId="578DD50A" w14:textId="77777777" w:rsidR="006834A3" w:rsidRDefault="006834A3"/>
    <w:p w14:paraId="79ABBC93" w14:textId="77777777" w:rsidR="006834A3" w:rsidRDefault="006834A3"/>
    <w:p w14:paraId="694E40BA" w14:textId="77777777" w:rsidR="006834A3" w:rsidRPr="005B6405" w:rsidRDefault="006834A3"/>
    <w:p w14:paraId="20F26ADF" w14:textId="77777777" w:rsidR="00A320F4" w:rsidRPr="005B6405" w:rsidRDefault="00A320F4"/>
    <w:p w14:paraId="38DA1249" w14:textId="68BCE5FC" w:rsidR="00DA543C" w:rsidRPr="005B6405" w:rsidRDefault="00DA543C" w:rsidP="00DA543C">
      <w:pPr>
        <w:pStyle w:val="Heading3"/>
        <w:spacing w:before="0" w:after="120"/>
        <w:rPr>
          <w:rFonts w:ascii="Gill Sans MT" w:hAnsi="Gill Sans MT"/>
          <w:sz w:val="24"/>
          <w:szCs w:val="24"/>
        </w:rPr>
      </w:pPr>
      <w:bookmarkStart w:id="0" w:name="_Toc526694539"/>
      <w:bookmarkStart w:id="1" w:name="_Toc526694609"/>
      <w:bookmarkStart w:id="2" w:name="_Toc526694779"/>
      <w:bookmarkStart w:id="3" w:name="_Toc36474942"/>
      <w:bookmarkStart w:id="4" w:name="_Toc41770921"/>
      <w:bookmarkStart w:id="5" w:name="_Toc41775083"/>
      <w:bookmarkStart w:id="6" w:name="_Toc227072321"/>
      <w:r w:rsidRPr="005B6405">
        <w:rPr>
          <w:rFonts w:ascii="Gill Sans MT" w:hAnsi="Gill Sans MT"/>
          <w:sz w:val="24"/>
          <w:szCs w:val="24"/>
        </w:rPr>
        <w:lastRenderedPageBreak/>
        <w:t>Revision status sheet</w:t>
      </w:r>
      <w:bookmarkEnd w:id="0"/>
      <w:bookmarkEnd w:id="1"/>
      <w:bookmarkEnd w:id="2"/>
      <w:bookmarkEnd w:id="3"/>
      <w:bookmarkEnd w:id="4"/>
      <w:bookmarkEnd w:id="5"/>
      <w:bookmarkEnd w:id="6"/>
    </w:p>
    <w:tbl>
      <w:tblPr>
        <w:tblW w:w="1030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066"/>
        <w:gridCol w:w="613"/>
        <w:gridCol w:w="1581"/>
        <w:gridCol w:w="1545"/>
        <w:gridCol w:w="1822"/>
        <w:gridCol w:w="2001"/>
      </w:tblGrid>
      <w:tr w:rsidR="002B7979" w:rsidRPr="005B6405" w14:paraId="72E7A5F0" w14:textId="77777777" w:rsidTr="00D020FE">
        <w:trPr>
          <w:trHeight w:val="552"/>
        </w:trPr>
        <w:tc>
          <w:tcPr>
            <w:tcW w:w="675" w:type="dxa"/>
          </w:tcPr>
          <w:p w14:paraId="00AFC5EB" w14:textId="77777777" w:rsidR="002B7979" w:rsidRPr="0028248B" w:rsidRDefault="002B7979" w:rsidP="002B7979">
            <w:pPr>
              <w:spacing w:after="0" w:line="0" w:lineRule="atLeast"/>
              <w:rPr>
                <w:rFonts w:eastAsia="Times New Roman" w:cs="Arial"/>
                <w:b/>
              </w:rPr>
            </w:pPr>
            <w:r w:rsidRPr="0028248B">
              <w:rPr>
                <w:rFonts w:eastAsia="Times New Roman" w:cs="Arial"/>
                <w:b/>
                <w:w w:val="97"/>
              </w:rPr>
              <w:t>Page</w:t>
            </w:r>
          </w:p>
        </w:tc>
        <w:tc>
          <w:tcPr>
            <w:tcW w:w="2066" w:type="dxa"/>
          </w:tcPr>
          <w:p w14:paraId="724865F7" w14:textId="77777777" w:rsidR="002B7979" w:rsidRPr="0028248B" w:rsidRDefault="002B7979" w:rsidP="002B7979">
            <w:pPr>
              <w:spacing w:after="0" w:line="0" w:lineRule="atLeast"/>
              <w:rPr>
                <w:rFonts w:eastAsia="Times New Roman" w:cs="Arial"/>
                <w:b/>
              </w:rPr>
            </w:pPr>
            <w:r w:rsidRPr="0028248B">
              <w:rPr>
                <w:rFonts w:eastAsia="Times New Roman" w:cs="Arial"/>
                <w:b/>
              </w:rPr>
              <w:t>Changes made</w:t>
            </w:r>
          </w:p>
        </w:tc>
        <w:tc>
          <w:tcPr>
            <w:tcW w:w="613" w:type="dxa"/>
          </w:tcPr>
          <w:p w14:paraId="5E7CAB44" w14:textId="77777777" w:rsidR="002B7979" w:rsidRPr="0028248B" w:rsidRDefault="002B7979" w:rsidP="002B7979">
            <w:pPr>
              <w:spacing w:after="0" w:line="0" w:lineRule="atLeast"/>
              <w:rPr>
                <w:rFonts w:eastAsia="Times New Roman" w:cs="Arial"/>
                <w:b/>
              </w:rPr>
            </w:pPr>
            <w:r w:rsidRPr="0028248B">
              <w:rPr>
                <w:rFonts w:eastAsia="Times New Roman" w:cs="Arial"/>
                <w:b/>
                <w:w w:val="99"/>
              </w:rPr>
              <w:t>Issue No</w:t>
            </w:r>
          </w:p>
        </w:tc>
        <w:tc>
          <w:tcPr>
            <w:tcW w:w="1581" w:type="dxa"/>
          </w:tcPr>
          <w:p w14:paraId="6FC342B7" w14:textId="77777777" w:rsidR="002B7979" w:rsidRPr="0028248B" w:rsidRDefault="002B7979" w:rsidP="002B7979">
            <w:pPr>
              <w:spacing w:after="0" w:line="0" w:lineRule="atLeast"/>
              <w:jc w:val="center"/>
              <w:rPr>
                <w:rFonts w:eastAsia="Times New Roman" w:cs="Arial"/>
                <w:b/>
              </w:rPr>
            </w:pPr>
            <w:r w:rsidRPr="0028248B">
              <w:rPr>
                <w:rFonts w:eastAsia="Times New Roman" w:cs="Arial"/>
                <w:b/>
              </w:rPr>
              <w:t>Process Owner (Title)</w:t>
            </w:r>
          </w:p>
        </w:tc>
        <w:tc>
          <w:tcPr>
            <w:tcW w:w="1545" w:type="dxa"/>
          </w:tcPr>
          <w:p w14:paraId="30E35FB7" w14:textId="77777777" w:rsidR="002B7979" w:rsidRPr="0028248B" w:rsidRDefault="002B7979" w:rsidP="002B7979">
            <w:pPr>
              <w:spacing w:after="0" w:line="0" w:lineRule="atLeast"/>
              <w:jc w:val="center"/>
              <w:rPr>
                <w:rFonts w:eastAsia="Times New Roman" w:cs="Arial"/>
                <w:b/>
              </w:rPr>
            </w:pPr>
            <w:r w:rsidRPr="0028248B">
              <w:rPr>
                <w:rFonts w:eastAsia="Times New Roman" w:cs="Arial"/>
                <w:b/>
                <w:bCs/>
              </w:rPr>
              <w:t>Initiated By (Name)</w:t>
            </w:r>
          </w:p>
        </w:tc>
        <w:tc>
          <w:tcPr>
            <w:tcW w:w="1822" w:type="dxa"/>
          </w:tcPr>
          <w:p w14:paraId="1DDBC56D" w14:textId="77777777" w:rsidR="002B7979" w:rsidRPr="0028248B" w:rsidRDefault="002B7979" w:rsidP="002B7979">
            <w:pPr>
              <w:spacing w:after="0" w:line="0" w:lineRule="atLeast"/>
              <w:rPr>
                <w:rFonts w:eastAsia="Times New Roman" w:cs="Arial"/>
                <w:b/>
                <w:w w:val="99"/>
              </w:rPr>
            </w:pPr>
            <w:r w:rsidRPr="0028248B">
              <w:rPr>
                <w:rFonts w:eastAsia="Times New Roman" w:cs="Arial"/>
                <w:b/>
                <w:bCs/>
              </w:rPr>
              <w:t>Reviewed By (Name)</w:t>
            </w:r>
          </w:p>
        </w:tc>
        <w:tc>
          <w:tcPr>
            <w:tcW w:w="2001" w:type="dxa"/>
          </w:tcPr>
          <w:p w14:paraId="1331A730" w14:textId="77777777" w:rsidR="002B7979" w:rsidRPr="0028248B" w:rsidRDefault="002B7979" w:rsidP="002B7979">
            <w:pPr>
              <w:spacing w:after="0" w:line="0" w:lineRule="atLeast"/>
              <w:rPr>
                <w:rFonts w:eastAsia="Times New Roman" w:cs="Arial"/>
                <w:b/>
              </w:rPr>
            </w:pPr>
            <w:r w:rsidRPr="0028248B">
              <w:rPr>
                <w:rFonts w:eastAsia="Times New Roman" w:cs="Arial"/>
                <w:b/>
                <w:w w:val="99"/>
              </w:rPr>
              <w:t>Date</w:t>
            </w:r>
          </w:p>
        </w:tc>
      </w:tr>
      <w:tr w:rsidR="00D20647" w:rsidRPr="005B6405" w14:paraId="6C239F26" w14:textId="77777777" w:rsidTr="00D020FE">
        <w:trPr>
          <w:trHeight w:val="1116"/>
        </w:trPr>
        <w:tc>
          <w:tcPr>
            <w:tcW w:w="675" w:type="dxa"/>
          </w:tcPr>
          <w:p w14:paraId="3BD5EFA9" w14:textId="200FA5DC" w:rsidR="00D20647" w:rsidRPr="0028248B" w:rsidRDefault="00D020FE" w:rsidP="00D20647">
            <w:pPr>
              <w:spacing w:after="0" w:line="0" w:lineRule="atLeast"/>
              <w:rPr>
                <w:rFonts w:eastAsia="Times New Roman" w:cs="Arial"/>
                <w:b/>
                <w:sz w:val="22"/>
                <w:szCs w:val="22"/>
              </w:rPr>
            </w:pPr>
            <w:r w:rsidRPr="0028248B">
              <w:rPr>
                <w:rFonts w:eastAsia="Times New Roman" w:cs="Arial"/>
                <w:b/>
                <w:sz w:val="22"/>
                <w:szCs w:val="22"/>
              </w:rPr>
              <w:t>13</w:t>
            </w:r>
          </w:p>
        </w:tc>
        <w:tc>
          <w:tcPr>
            <w:tcW w:w="2066" w:type="dxa"/>
          </w:tcPr>
          <w:p w14:paraId="1957E975" w14:textId="38A98193"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Change</w:t>
            </w:r>
            <w:r w:rsidR="00FB1419" w:rsidRPr="0028248B">
              <w:rPr>
                <w:rFonts w:eastAsia="Times New Roman" w:cs="Arial"/>
                <w:bCs/>
                <w:sz w:val="22"/>
                <w:szCs w:val="22"/>
              </w:rPr>
              <w:t xml:space="preserve">d clause </w:t>
            </w:r>
            <w:r w:rsidR="00050B8D" w:rsidRPr="0028248B">
              <w:rPr>
                <w:rFonts w:eastAsia="Times New Roman" w:cs="Arial"/>
                <w:bCs/>
                <w:sz w:val="22"/>
                <w:szCs w:val="22"/>
              </w:rPr>
              <w:t>8.2.2from</w:t>
            </w:r>
            <w:r w:rsidRPr="0028248B">
              <w:rPr>
                <w:rFonts w:eastAsia="Times New Roman" w:cs="Arial"/>
                <w:bCs/>
                <w:sz w:val="22"/>
                <w:szCs w:val="22"/>
              </w:rPr>
              <w:t xml:space="preserve"> “The temperature of the pharmacy should range between (+15 °C and +25°C) ±2°C, to ‘the temperature of the pharmacy should range between (+15 °C and +30°C) ±0.5°C. </w:t>
            </w:r>
            <w:proofErr w:type="gramStart"/>
            <w:r w:rsidRPr="0028248B">
              <w:rPr>
                <w:rFonts w:eastAsia="Times New Roman" w:cs="Arial"/>
                <w:bCs/>
                <w:sz w:val="22"/>
                <w:szCs w:val="22"/>
              </w:rPr>
              <w:t>‘ this</w:t>
            </w:r>
            <w:proofErr w:type="gramEnd"/>
            <w:r w:rsidRPr="0028248B">
              <w:rPr>
                <w:rFonts w:eastAsia="Times New Roman" w:cs="Arial"/>
                <w:bCs/>
                <w:sz w:val="22"/>
                <w:szCs w:val="22"/>
              </w:rPr>
              <w:t xml:space="preserve"> is to align with conditions of registration and Botswana temperature zoning classification.</w:t>
            </w:r>
          </w:p>
        </w:tc>
        <w:tc>
          <w:tcPr>
            <w:tcW w:w="613" w:type="dxa"/>
          </w:tcPr>
          <w:p w14:paraId="5CA3F6C8" w14:textId="0EE79629"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3.0</w:t>
            </w:r>
          </w:p>
        </w:tc>
        <w:tc>
          <w:tcPr>
            <w:tcW w:w="1581" w:type="dxa"/>
          </w:tcPr>
          <w:p w14:paraId="193F4939" w14:textId="657850C0"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Manager – Inspections and Licensing</w:t>
            </w:r>
          </w:p>
        </w:tc>
        <w:tc>
          <w:tcPr>
            <w:tcW w:w="1545" w:type="dxa"/>
          </w:tcPr>
          <w:p w14:paraId="2BE8DF22" w14:textId="44378102"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 xml:space="preserve">Maikaego </w:t>
            </w:r>
            <w:r w:rsidR="00C31936" w:rsidRPr="0028248B">
              <w:rPr>
                <w:rFonts w:eastAsia="Times New Roman" w:cs="Arial"/>
                <w:bCs/>
                <w:sz w:val="22"/>
                <w:szCs w:val="22"/>
              </w:rPr>
              <w:t xml:space="preserve">N </w:t>
            </w:r>
            <w:r w:rsidRPr="0028248B">
              <w:rPr>
                <w:rFonts w:eastAsia="Times New Roman" w:cs="Arial"/>
                <w:bCs/>
                <w:sz w:val="22"/>
                <w:szCs w:val="22"/>
              </w:rPr>
              <w:t>Moreri</w:t>
            </w:r>
          </w:p>
        </w:tc>
        <w:tc>
          <w:tcPr>
            <w:tcW w:w="1822" w:type="dxa"/>
          </w:tcPr>
          <w:p w14:paraId="1FC4E383" w14:textId="56547AAA"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Tshegofatso Chilume</w:t>
            </w:r>
          </w:p>
        </w:tc>
        <w:tc>
          <w:tcPr>
            <w:tcW w:w="2001" w:type="dxa"/>
          </w:tcPr>
          <w:p w14:paraId="5F58C8FE" w14:textId="01F2A441"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19/02/2026</w:t>
            </w:r>
          </w:p>
        </w:tc>
      </w:tr>
      <w:tr w:rsidR="00D20647" w:rsidRPr="005B6405" w14:paraId="51EE315B" w14:textId="77777777" w:rsidTr="00D020FE">
        <w:trPr>
          <w:trHeight w:val="1104"/>
        </w:trPr>
        <w:tc>
          <w:tcPr>
            <w:tcW w:w="675" w:type="dxa"/>
          </w:tcPr>
          <w:p w14:paraId="2D9D5DB5" w14:textId="20501B08" w:rsidR="00D20647" w:rsidRPr="0028248B" w:rsidRDefault="00D020FE" w:rsidP="00D20647">
            <w:pPr>
              <w:spacing w:after="0" w:line="0" w:lineRule="atLeast"/>
              <w:rPr>
                <w:rFonts w:eastAsia="Times New Roman" w:cs="Arial"/>
                <w:b/>
                <w:sz w:val="22"/>
                <w:szCs w:val="22"/>
              </w:rPr>
            </w:pPr>
            <w:r w:rsidRPr="0028248B">
              <w:rPr>
                <w:rFonts w:eastAsia="Times New Roman" w:cs="Arial"/>
                <w:b/>
                <w:sz w:val="22"/>
                <w:szCs w:val="22"/>
              </w:rPr>
              <w:t>13</w:t>
            </w:r>
          </w:p>
        </w:tc>
        <w:tc>
          <w:tcPr>
            <w:tcW w:w="2066" w:type="dxa"/>
          </w:tcPr>
          <w:p w14:paraId="0920A79F" w14:textId="56A87ED1"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 xml:space="preserve">Added: </w:t>
            </w:r>
            <w:r w:rsidR="00050B8D" w:rsidRPr="0028248B">
              <w:rPr>
                <w:rFonts w:eastAsia="Times New Roman" w:cs="Arial"/>
                <w:bCs/>
                <w:sz w:val="22"/>
                <w:szCs w:val="22"/>
              </w:rPr>
              <w:t xml:space="preserve">Clause 8.2.3 </w:t>
            </w:r>
            <w:r w:rsidRPr="0028248B">
              <w:rPr>
                <w:rFonts w:eastAsia="Times New Roman" w:cs="Arial"/>
                <w:bCs/>
                <w:sz w:val="22"/>
                <w:szCs w:val="22"/>
              </w:rPr>
              <w:t>Temperature monitoring devices should be calibrated at defined intervals and in accordance with the manufacturer’s instructions</w:t>
            </w:r>
          </w:p>
        </w:tc>
        <w:tc>
          <w:tcPr>
            <w:tcW w:w="613" w:type="dxa"/>
          </w:tcPr>
          <w:p w14:paraId="44CB4173" w14:textId="4ACE14F9"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3.0</w:t>
            </w:r>
          </w:p>
        </w:tc>
        <w:tc>
          <w:tcPr>
            <w:tcW w:w="1581" w:type="dxa"/>
          </w:tcPr>
          <w:p w14:paraId="449AA594" w14:textId="5F0772F1"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Manager – Inspections and Licensing</w:t>
            </w:r>
          </w:p>
        </w:tc>
        <w:tc>
          <w:tcPr>
            <w:tcW w:w="1545" w:type="dxa"/>
          </w:tcPr>
          <w:p w14:paraId="7BCEFF92" w14:textId="489712BA"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 xml:space="preserve">Maikaego </w:t>
            </w:r>
            <w:r w:rsidR="00C31936" w:rsidRPr="0028248B">
              <w:rPr>
                <w:rFonts w:eastAsia="Times New Roman" w:cs="Arial"/>
                <w:bCs/>
                <w:sz w:val="22"/>
                <w:szCs w:val="22"/>
              </w:rPr>
              <w:t xml:space="preserve">N. </w:t>
            </w:r>
            <w:r w:rsidRPr="0028248B">
              <w:rPr>
                <w:rFonts w:eastAsia="Times New Roman" w:cs="Arial"/>
                <w:bCs/>
                <w:sz w:val="22"/>
                <w:szCs w:val="22"/>
              </w:rPr>
              <w:t>Moreri</w:t>
            </w:r>
          </w:p>
        </w:tc>
        <w:tc>
          <w:tcPr>
            <w:tcW w:w="1822" w:type="dxa"/>
          </w:tcPr>
          <w:p w14:paraId="4F2F77F4" w14:textId="6AD9E7C4"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Tshegofatso Chilume</w:t>
            </w:r>
          </w:p>
        </w:tc>
        <w:tc>
          <w:tcPr>
            <w:tcW w:w="2001" w:type="dxa"/>
          </w:tcPr>
          <w:p w14:paraId="6B19A57A" w14:textId="449D2FA8"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19/02/2026</w:t>
            </w:r>
          </w:p>
        </w:tc>
      </w:tr>
      <w:tr w:rsidR="00D20647" w:rsidRPr="005B6405" w14:paraId="658D9A95" w14:textId="77777777" w:rsidTr="00D020FE">
        <w:trPr>
          <w:trHeight w:val="1116"/>
        </w:trPr>
        <w:tc>
          <w:tcPr>
            <w:tcW w:w="675" w:type="dxa"/>
          </w:tcPr>
          <w:p w14:paraId="39E84999" w14:textId="4CFB1F2A"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Header</w:t>
            </w:r>
          </w:p>
        </w:tc>
        <w:tc>
          <w:tcPr>
            <w:tcW w:w="2066" w:type="dxa"/>
          </w:tcPr>
          <w:p w14:paraId="1F5C4EBF" w14:textId="718C4F96" w:rsidR="00D20647" w:rsidRPr="0028248B" w:rsidRDefault="000742BB" w:rsidP="00D20647">
            <w:pPr>
              <w:spacing w:after="0" w:line="0" w:lineRule="atLeast"/>
              <w:rPr>
                <w:rFonts w:eastAsia="Times New Roman" w:cs="Arial"/>
                <w:bCs/>
                <w:sz w:val="22"/>
                <w:szCs w:val="22"/>
              </w:rPr>
            </w:pPr>
            <w:r w:rsidRPr="0028248B">
              <w:rPr>
                <w:rFonts w:eastAsia="Times New Roman" w:cs="Arial"/>
                <w:bCs/>
                <w:sz w:val="22"/>
                <w:szCs w:val="22"/>
              </w:rPr>
              <w:t xml:space="preserve">Title Change: </w:t>
            </w:r>
            <w:r w:rsidR="00D20647" w:rsidRPr="0028248B">
              <w:rPr>
                <w:rFonts w:eastAsia="Times New Roman" w:cs="Arial"/>
                <w:bCs/>
                <w:sz w:val="22"/>
                <w:szCs w:val="22"/>
              </w:rPr>
              <w:t>Name change from Guidelines for Operating a Community Pharmacy to Guideline for Operating a Standalone Pharmacy.</w:t>
            </w:r>
          </w:p>
        </w:tc>
        <w:tc>
          <w:tcPr>
            <w:tcW w:w="613" w:type="dxa"/>
          </w:tcPr>
          <w:p w14:paraId="3345B8E6" w14:textId="77777777"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2.0</w:t>
            </w:r>
          </w:p>
        </w:tc>
        <w:tc>
          <w:tcPr>
            <w:tcW w:w="1581" w:type="dxa"/>
          </w:tcPr>
          <w:p w14:paraId="14D31C49" w14:textId="77777777"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Manager – Inspections and Licensing</w:t>
            </w:r>
          </w:p>
        </w:tc>
        <w:tc>
          <w:tcPr>
            <w:tcW w:w="1545" w:type="dxa"/>
          </w:tcPr>
          <w:p w14:paraId="01F0D000" w14:textId="4F8ADA23"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 xml:space="preserve">Maikaego </w:t>
            </w:r>
            <w:r w:rsidR="00C31936" w:rsidRPr="0028248B">
              <w:rPr>
                <w:rFonts w:eastAsia="Times New Roman" w:cs="Arial"/>
                <w:bCs/>
                <w:sz w:val="22"/>
                <w:szCs w:val="22"/>
              </w:rPr>
              <w:t xml:space="preserve">N. </w:t>
            </w:r>
            <w:r w:rsidRPr="0028248B">
              <w:rPr>
                <w:rFonts w:eastAsia="Times New Roman" w:cs="Arial"/>
                <w:bCs/>
                <w:sz w:val="22"/>
                <w:szCs w:val="22"/>
              </w:rPr>
              <w:t>Moreri</w:t>
            </w:r>
          </w:p>
        </w:tc>
        <w:tc>
          <w:tcPr>
            <w:tcW w:w="1822" w:type="dxa"/>
          </w:tcPr>
          <w:p w14:paraId="0E683B50" w14:textId="3BED9C5A"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Tshegofatso Chilume</w:t>
            </w:r>
          </w:p>
        </w:tc>
        <w:tc>
          <w:tcPr>
            <w:tcW w:w="2001" w:type="dxa"/>
          </w:tcPr>
          <w:p w14:paraId="4FB81F17" w14:textId="77777777"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19/02/2026</w:t>
            </w:r>
          </w:p>
        </w:tc>
      </w:tr>
      <w:tr w:rsidR="00D20647" w:rsidRPr="005B6405" w14:paraId="0A6E7425" w14:textId="77777777" w:rsidTr="00D020FE">
        <w:trPr>
          <w:trHeight w:val="1392"/>
        </w:trPr>
        <w:tc>
          <w:tcPr>
            <w:tcW w:w="675" w:type="dxa"/>
          </w:tcPr>
          <w:p w14:paraId="04702F2F" w14:textId="0509E268" w:rsidR="00D20647" w:rsidRPr="0028248B" w:rsidRDefault="00D020FE" w:rsidP="00D20647">
            <w:pPr>
              <w:spacing w:after="0" w:line="0" w:lineRule="atLeast"/>
              <w:rPr>
                <w:rFonts w:eastAsia="Times New Roman" w:cs="Arial"/>
                <w:b/>
                <w:sz w:val="22"/>
                <w:szCs w:val="22"/>
              </w:rPr>
            </w:pPr>
            <w:r w:rsidRPr="0028248B">
              <w:rPr>
                <w:rFonts w:eastAsia="Times New Roman" w:cs="Arial"/>
                <w:b/>
                <w:sz w:val="22"/>
                <w:szCs w:val="22"/>
              </w:rPr>
              <w:t>16</w:t>
            </w:r>
          </w:p>
        </w:tc>
        <w:tc>
          <w:tcPr>
            <w:tcW w:w="2066" w:type="dxa"/>
          </w:tcPr>
          <w:p w14:paraId="5ECEC483" w14:textId="67048A68"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 xml:space="preserve">Addition of </w:t>
            </w:r>
            <w:r w:rsidR="00FB6AA8" w:rsidRPr="0028248B">
              <w:rPr>
                <w:rFonts w:eastAsia="Times New Roman" w:cs="Arial"/>
                <w:bCs/>
                <w:sz w:val="22"/>
                <w:szCs w:val="22"/>
              </w:rPr>
              <w:t xml:space="preserve">clause 11 </w:t>
            </w:r>
            <w:r w:rsidRPr="0028248B">
              <w:rPr>
                <w:rFonts w:eastAsia="Times New Roman" w:cs="Arial"/>
                <w:bCs/>
                <w:sz w:val="22"/>
                <w:szCs w:val="22"/>
              </w:rPr>
              <w:t>provision for Release of customer information</w:t>
            </w:r>
          </w:p>
        </w:tc>
        <w:tc>
          <w:tcPr>
            <w:tcW w:w="613" w:type="dxa"/>
          </w:tcPr>
          <w:p w14:paraId="3D55B666" w14:textId="18AED54F"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1.0</w:t>
            </w:r>
          </w:p>
        </w:tc>
        <w:tc>
          <w:tcPr>
            <w:tcW w:w="1581" w:type="dxa"/>
          </w:tcPr>
          <w:p w14:paraId="1C43349C" w14:textId="0639EB07"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Manager – Inspections and Licensing</w:t>
            </w:r>
          </w:p>
        </w:tc>
        <w:tc>
          <w:tcPr>
            <w:tcW w:w="1545" w:type="dxa"/>
            <w:vAlign w:val="bottom"/>
          </w:tcPr>
          <w:p w14:paraId="5945F812" w14:textId="76FA2F46"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Tshetsana Senau</w:t>
            </w:r>
          </w:p>
        </w:tc>
        <w:tc>
          <w:tcPr>
            <w:tcW w:w="1822" w:type="dxa"/>
          </w:tcPr>
          <w:p w14:paraId="6C4ABB9A" w14:textId="76F4986C"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Tshetsana Senau</w:t>
            </w:r>
          </w:p>
        </w:tc>
        <w:tc>
          <w:tcPr>
            <w:tcW w:w="2001" w:type="dxa"/>
          </w:tcPr>
          <w:p w14:paraId="0A0C06D3" w14:textId="20885B27" w:rsidR="00D20647" w:rsidRPr="0028248B" w:rsidRDefault="00D20647" w:rsidP="00D20647">
            <w:pPr>
              <w:spacing w:after="0" w:line="0" w:lineRule="atLeast"/>
              <w:rPr>
                <w:rFonts w:eastAsia="Times New Roman" w:cs="Arial"/>
                <w:bCs/>
                <w:sz w:val="22"/>
                <w:szCs w:val="22"/>
              </w:rPr>
            </w:pPr>
            <w:r w:rsidRPr="0028248B">
              <w:rPr>
                <w:rFonts w:eastAsia="Times New Roman" w:cs="Arial"/>
                <w:bCs/>
                <w:sz w:val="22"/>
                <w:szCs w:val="22"/>
              </w:rPr>
              <w:t>13/12/2021</w:t>
            </w:r>
          </w:p>
        </w:tc>
      </w:tr>
    </w:tbl>
    <w:p w14:paraId="3F37FD83" w14:textId="77777777" w:rsidR="00D53510" w:rsidRDefault="00D53510" w:rsidP="00D20647"/>
    <w:p w14:paraId="1A34B722" w14:textId="77777777" w:rsidR="006834A3" w:rsidRPr="005B6405" w:rsidRDefault="006834A3" w:rsidP="00D20647"/>
    <w:p w14:paraId="71CBA313" w14:textId="12DB294F" w:rsidR="00683782" w:rsidRPr="005B6405" w:rsidRDefault="00683782" w:rsidP="001A49B0">
      <w:pPr>
        <w:pStyle w:val="Heading1"/>
        <w:spacing w:before="0" w:after="120" w:line="240" w:lineRule="auto"/>
        <w:jc w:val="both"/>
        <w:rPr>
          <w:rFonts w:ascii="Gill Sans MT" w:hAnsi="Gill Sans MT"/>
          <w:b/>
          <w:bCs/>
          <w:color w:val="auto"/>
          <w:sz w:val="24"/>
          <w:szCs w:val="24"/>
        </w:rPr>
      </w:pPr>
      <w:bookmarkStart w:id="7" w:name="_Toc41489311"/>
      <w:bookmarkStart w:id="8" w:name="_Toc227072322"/>
      <w:r w:rsidRPr="005B6405">
        <w:rPr>
          <w:rFonts w:ascii="Gill Sans MT" w:hAnsi="Gill Sans MT"/>
          <w:b/>
          <w:bCs/>
          <w:color w:val="auto"/>
          <w:sz w:val="24"/>
          <w:szCs w:val="24"/>
        </w:rPr>
        <w:lastRenderedPageBreak/>
        <w:t xml:space="preserve">1. </w:t>
      </w:r>
      <w:r w:rsidR="001A49B0" w:rsidRPr="005B6405">
        <w:rPr>
          <w:rFonts w:ascii="Gill Sans MT" w:hAnsi="Gill Sans MT"/>
          <w:b/>
          <w:bCs/>
          <w:color w:val="auto"/>
          <w:sz w:val="24"/>
          <w:szCs w:val="24"/>
        </w:rPr>
        <w:tab/>
      </w:r>
      <w:r w:rsidRPr="005B6405">
        <w:rPr>
          <w:rFonts w:ascii="Gill Sans MT" w:hAnsi="Gill Sans MT"/>
          <w:b/>
          <w:bCs/>
          <w:color w:val="auto"/>
          <w:sz w:val="24"/>
          <w:szCs w:val="24"/>
        </w:rPr>
        <w:t>Preamble</w:t>
      </w:r>
      <w:bookmarkEnd w:id="7"/>
      <w:bookmarkEnd w:id="8"/>
    </w:p>
    <w:p w14:paraId="2C3BFEB9" w14:textId="0A5A802A" w:rsidR="00683782" w:rsidRPr="005B6405" w:rsidRDefault="00683782" w:rsidP="00695FBC">
      <w:pPr>
        <w:spacing w:after="120" w:line="240" w:lineRule="auto"/>
        <w:ind w:left="720"/>
        <w:jc w:val="both"/>
        <w:rPr>
          <w:sz w:val="22"/>
          <w:szCs w:val="22"/>
        </w:rPr>
      </w:pPr>
      <w:r w:rsidRPr="005B6405">
        <w:rPr>
          <w:sz w:val="22"/>
          <w:szCs w:val="22"/>
        </w:rPr>
        <w:t>The Medicine</w:t>
      </w:r>
      <w:r w:rsidR="00031019" w:rsidRPr="005B6405">
        <w:rPr>
          <w:sz w:val="22"/>
          <w:szCs w:val="22"/>
        </w:rPr>
        <w:t>s</w:t>
      </w:r>
      <w:r w:rsidRPr="005B6405">
        <w:rPr>
          <w:sz w:val="22"/>
          <w:szCs w:val="22"/>
        </w:rPr>
        <w:t xml:space="preserve"> Regulatory Authority (BoMRA) was established through an Act of parliament; the Medicines and Related Substances Act of 20</w:t>
      </w:r>
      <w:r w:rsidR="003E67ED" w:rsidRPr="005B6405">
        <w:rPr>
          <w:sz w:val="22"/>
          <w:szCs w:val="22"/>
        </w:rPr>
        <w:t>25</w:t>
      </w:r>
      <w:r w:rsidRPr="005B6405">
        <w:rPr>
          <w:sz w:val="22"/>
          <w:szCs w:val="22"/>
        </w:rPr>
        <w:t xml:space="preserve">. The act provides for the regulation of medicines, medical devices, and cosmetics in Botswana </w:t>
      </w:r>
      <w:proofErr w:type="gramStart"/>
      <w:r w:rsidRPr="005B6405">
        <w:rPr>
          <w:sz w:val="22"/>
          <w:szCs w:val="22"/>
        </w:rPr>
        <w:t>in order to</w:t>
      </w:r>
      <w:proofErr w:type="gramEnd"/>
      <w:r w:rsidRPr="005B6405">
        <w:rPr>
          <w:sz w:val="22"/>
          <w:szCs w:val="22"/>
        </w:rPr>
        <w:t xml:space="preserve"> promote human and animal health by providing guarantees for quality, safety and efficacy of medicines and medicinal products throughout the supply chain. To achieve this goal, the Authority has undertaken to develop a set of guidelines and procedures to guide the </w:t>
      </w:r>
      <w:r w:rsidR="00A72949" w:rsidRPr="005B6405">
        <w:rPr>
          <w:sz w:val="22"/>
          <w:szCs w:val="22"/>
        </w:rPr>
        <w:t>handling</w:t>
      </w:r>
      <w:r w:rsidRPr="005B6405">
        <w:rPr>
          <w:sz w:val="22"/>
          <w:szCs w:val="22"/>
        </w:rPr>
        <w:t xml:space="preserve"> of medicines</w:t>
      </w:r>
      <w:r w:rsidR="00A72949" w:rsidRPr="005B6405">
        <w:rPr>
          <w:sz w:val="22"/>
          <w:szCs w:val="22"/>
        </w:rPr>
        <w:t xml:space="preserve"> throughout the </w:t>
      </w:r>
      <w:r w:rsidR="00B60B1B" w:rsidRPr="005B6405">
        <w:rPr>
          <w:sz w:val="22"/>
          <w:szCs w:val="22"/>
        </w:rPr>
        <w:t>supply chain</w:t>
      </w:r>
      <w:r w:rsidRPr="005B6405">
        <w:rPr>
          <w:sz w:val="22"/>
          <w:szCs w:val="22"/>
        </w:rPr>
        <w:t xml:space="preserve">. </w:t>
      </w:r>
    </w:p>
    <w:p w14:paraId="14A7CB90" w14:textId="49F09A6B" w:rsidR="00683782" w:rsidRPr="005B6405" w:rsidRDefault="00683782" w:rsidP="00695FBC">
      <w:pPr>
        <w:spacing w:after="120" w:line="240" w:lineRule="auto"/>
        <w:ind w:left="720"/>
        <w:jc w:val="both"/>
        <w:rPr>
          <w:sz w:val="22"/>
          <w:szCs w:val="22"/>
        </w:rPr>
      </w:pPr>
      <w:r w:rsidRPr="005B6405">
        <w:rPr>
          <w:sz w:val="22"/>
          <w:szCs w:val="22"/>
        </w:rPr>
        <w:t xml:space="preserve">This document provides guidance on what is required to acquire a license for operating a pharmaceutical retailer by BoMRA. It is a requirement to comply with the </w:t>
      </w:r>
      <w:r w:rsidR="00CF6298" w:rsidRPr="005B6405">
        <w:rPr>
          <w:sz w:val="22"/>
          <w:szCs w:val="22"/>
        </w:rPr>
        <w:t>guidelines set</w:t>
      </w:r>
      <w:r w:rsidRPr="005B6405">
        <w:rPr>
          <w:sz w:val="22"/>
          <w:szCs w:val="22"/>
        </w:rPr>
        <w:t xml:space="preserve"> in accordance with the Medicines and Related Substances Act</w:t>
      </w:r>
      <w:r w:rsidR="006E49C9" w:rsidRPr="005B6405">
        <w:rPr>
          <w:sz w:val="22"/>
          <w:szCs w:val="22"/>
        </w:rPr>
        <w:t xml:space="preserve"> and </w:t>
      </w:r>
      <w:r w:rsidR="00A320F4" w:rsidRPr="005B6405">
        <w:rPr>
          <w:sz w:val="22"/>
          <w:szCs w:val="22"/>
        </w:rPr>
        <w:t>R</w:t>
      </w:r>
      <w:r w:rsidR="006E49C9" w:rsidRPr="005B6405">
        <w:rPr>
          <w:sz w:val="22"/>
          <w:szCs w:val="22"/>
        </w:rPr>
        <w:t>egulations thereto</w:t>
      </w:r>
      <w:r w:rsidRPr="005B6405">
        <w:rPr>
          <w:sz w:val="22"/>
          <w:szCs w:val="22"/>
        </w:rPr>
        <w:t>. All stakeholders involved in the supply chain shall ensure the safe handling of medicines so that their quality is maintained until the end user.</w:t>
      </w:r>
    </w:p>
    <w:p w14:paraId="1B4D5EFB" w14:textId="04568D34" w:rsidR="00683782" w:rsidRPr="005B6405" w:rsidRDefault="00683782" w:rsidP="001A49B0">
      <w:pPr>
        <w:pStyle w:val="Heading1"/>
        <w:spacing w:before="0" w:after="120" w:line="240" w:lineRule="auto"/>
        <w:jc w:val="both"/>
        <w:rPr>
          <w:rFonts w:ascii="Gill Sans MT" w:hAnsi="Gill Sans MT"/>
          <w:b/>
          <w:bCs/>
          <w:color w:val="auto"/>
          <w:sz w:val="24"/>
          <w:szCs w:val="24"/>
        </w:rPr>
      </w:pPr>
      <w:bookmarkStart w:id="9" w:name="_Toc41489312"/>
      <w:bookmarkStart w:id="10" w:name="_Toc227072323"/>
      <w:r w:rsidRPr="005B6405">
        <w:rPr>
          <w:rFonts w:ascii="Gill Sans MT" w:hAnsi="Gill Sans MT"/>
          <w:b/>
          <w:bCs/>
          <w:color w:val="auto"/>
          <w:sz w:val="24"/>
          <w:szCs w:val="24"/>
        </w:rPr>
        <w:t xml:space="preserve">2. </w:t>
      </w:r>
      <w:r w:rsidR="001A49B0" w:rsidRPr="005B6405">
        <w:rPr>
          <w:rFonts w:ascii="Gill Sans MT" w:hAnsi="Gill Sans MT"/>
          <w:b/>
          <w:bCs/>
          <w:color w:val="auto"/>
          <w:sz w:val="24"/>
          <w:szCs w:val="24"/>
        </w:rPr>
        <w:tab/>
      </w:r>
      <w:r w:rsidRPr="005B6405">
        <w:rPr>
          <w:rFonts w:ascii="Gill Sans MT" w:hAnsi="Gill Sans MT"/>
          <w:b/>
          <w:bCs/>
          <w:color w:val="auto"/>
          <w:sz w:val="24"/>
          <w:szCs w:val="24"/>
        </w:rPr>
        <w:t>Laws, Regulations, Policies and Guidelines Applied</w:t>
      </w:r>
      <w:bookmarkEnd w:id="9"/>
      <w:bookmarkEnd w:id="10"/>
    </w:p>
    <w:p w14:paraId="02417457" w14:textId="3FF6F797" w:rsidR="00683782" w:rsidRPr="005B6405" w:rsidRDefault="00683782" w:rsidP="00695FBC">
      <w:pPr>
        <w:spacing w:after="0" w:line="240" w:lineRule="auto"/>
        <w:jc w:val="both"/>
        <w:rPr>
          <w:sz w:val="22"/>
          <w:szCs w:val="22"/>
        </w:rPr>
      </w:pPr>
      <w:r w:rsidRPr="005B6405">
        <w:rPr>
          <w:sz w:val="22"/>
          <w:szCs w:val="22"/>
        </w:rPr>
        <w:t xml:space="preserve">These guidelines were developed using principles from the </w:t>
      </w:r>
      <w:r w:rsidR="00E9273C" w:rsidRPr="005B6405">
        <w:rPr>
          <w:sz w:val="22"/>
          <w:szCs w:val="22"/>
        </w:rPr>
        <w:t>following</w:t>
      </w:r>
      <w:r w:rsidR="00835EC6" w:rsidRPr="005B6405">
        <w:rPr>
          <w:sz w:val="22"/>
          <w:szCs w:val="22"/>
        </w:rPr>
        <w:t>:</w:t>
      </w:r>
    </w:p>
    <w:p w14:paraId="2418E714" w14:textId="4830B55C" w:rsidR="00683782" w:rsidRPr="005B6405" w:rsidRDefault="00683782" w:rsidP="004A7F47">
      <w:pPr>
        <w:pStyle w:val="ListParagraph"/>
        <w:numPr>
          <w:ilvl w:val="0"/>
          <w:numId w:val="4"/>
        </w:numPr>
        <w:spacing w:after="0" w:line="240" w:lineRule="auto"/>
        <w:contextualSpacing w:val="0"/>
        <w:jc w:val="both"/>
        <w:rPr>
          <w:sz w:val="22"/>
          <w:szCs w:val="22"/>
        </w:rPr>
      </w:pPr>
      <w:r w:rsidRPr="005B6405">
        <w:rPr>
          <w:sz w:val="22"/>
          <w:szCs w:val="22"/>
        </w:rPr>
        <w:t>Medicines and Related Substances Act, 20</w:t>
      </w:r>
      <w:r w:rsidR="003E67ED" w:rsidRPr="005B6405">
        <w:rPr>
          <w:sz w:val="22"/>
          <w:szCs w:val="22"/>
        </w:rPr>
        <w:t>25</w:t>
      </w:r>
      <w:r w:rsidRPr="005B6405">
        <w:rPr>
          <w:sz w:val="22"/>
          <w:szCs w:val="22"/>
        </w:rPr>
        <w:t>,</w:t>
      </w:r>
      <w:r w:rsidR="005543C5" w:rsidRPr="005B6405">
        <w:rPr>
          <w:sz w:val="22"/>
          <w:szCs w:val="22"/>
        </w:rPr>
        <w:t xml:space="preserve"> (MRSA)</w:t>
      </w:r>
    </w:p>
    <w:p w14:paraId="6A65A9F4" w14:textId="1BB76673" w:rsidR="00683782" w:rsidRPr="005B6405" w:rsidRDefault="00683782" w:rsidP="004A7F47">
      <w:pPr>
        <w:pStyle w:val="ListParagraph"/>
        <w:numPr>
          <w:ilvl w:val="0"/>
          <w:numId w:val="4"/>
        </w:numPr>
        <w:spacing w:after="0" w:line="240" w:lineRule="auto"/>
        <w:contextualSpacing w:val="0"/>
        <w:jc w:val="both"/>
        <w:rPr>
          <w:sz w:val="22"/>
          <w:szCs w:val="22"/>
        </w:rPr>
      </w:pPr>
      <w:r w:rsidRPr="005B6405">
        <w:rPr>
          <w:sz w:val="22"/>
          <w:szCs w:val="22"/>
        </w:rPr>
        <w:t>Medicines and Related Substances Regulations, 20</w:t>
      </w:r>
      <w:r w:rsidR="006D711C" w:rsidRPr="005B6405">
        <w:rPr>
          <w:sz w:val="22"/>
          <w:szCs w:val="22"/>
        </w:rPr>
        <w:t>19</w:t>
      </w:r>
    </w:p>
    <w:p w14:paraId="31B4DAA8" w14:textId="06E7EE48" w:rsidR="00CE767A" w:rsidRPr="005B6405" w:rsidRDefault="00FB0A15" w:rsidP="004A7F47">
      <w:pPr>
        <w:pStyle w:val="ListParagraph"/>
        <w:numPr>
          <w:ilvl w:val="0"/>
          <w:numId w:val="4"/>
        </w:numPr>
        <w:spacing w:after="0" w:line="240" w:lineRule="auto"/>
        <w:contextualSpacing w:val="0"/>
        <w:jc w:val="both"/>
        <w:rPr>
          <w:sz w:val="22"/>
          <w:szCs w:val="22"/>
        </w:rPr>
      </w:pPr>
      <w:r w:rsidRPr="005B6405">
        <w:rPr>
          <w:sz w:val="22"/>
          <w:szCs w:val="22"/>
        </w:rPr>
        <w:t>WHO Technical Report Series</w:t>
      </w:r>
      <w:r w:rsidR="00617C5E" w:rsidRPr="005B6405">
        <w:rPr>
          <w:sz w:val="22"/>
          <w:szCs w:val="22"/>
        </w:rPr>
        <w:t xml:space="preserve">, No 1025, 2020, </w:t>
      </w:r>
      <w:r w:rsidR="00F507CF" w:rsidRPr="005B6405">
        <w:rPr>
          <w:sz w:val="22"/>
          <w:szCs w:val="22"/>
        </w:rPr>
        <w:t>A</w:t>
      </w:r>
      <w:r w:rsidR="00617C5E" w:rsidRPr="005B6405">
        <w:rPr>
          <w:sz w:val="22"/>
          <w:szCs w:val="22"/>
        </w:rPr>
        <w:t>nnex 7</w:t>
      </w:r>
    </w:p>
    <w:p w14:paraId="0283A5D0" w14:textId="77777777" w:rsidR="00FD3C2F" w:rsidRPr="005B6405" w:rsidRDefault="00FD3C2F" w:rsidP="00695FBC">
      <w:pPr>
        <w:pStyle w:val="ListParagraph"/>
        <w:spacing w:after="0" w:line="240" w:lineRule="auto"/>
        <w:ind w:left="1080"/>
        <w:contextualSpacing w:val="0"/>
        <w:jc w:val="both"/>
      </w:pPr>
    </w:p>
    <w:p w14:paraId="12B0C17D" w14:textId="69AB5C22" w:rsidR="00765C7A" w:rsidRPr="005B6405" w:rsidRDefault="005078AC" w:rsidP="004A7F47">
      <w:pPr>
        <w:pStyle w:val="ListParagraph"/>
        <w:numPr>
          <w:ilvl w:val="0"/>
          <w:numId w:val="5"/>
        </w:numPr>
        <w:spacing w:after="120" w:line="240" w:lineRule="auto"/>
        <w:jc w:val="both"/>
      </w:pPr>
      <w:r w:rsidRPr="005B6405">
        <w:rPr>
          <w:b/>
          <w:bCs/>
        </w:rPr>
        <w:t>Legal Consi</w:t>
      </w:r>
      <w:r w:rsidR="00BD2A8F" w:rsidRPr="005B6405">
        <w:rPr>
          <w:b/>
          <w:bCs/>
        </w:rPr>
        <w:t>derations</w:t>
      </w:r>
    </w:p>
    <w:p w14:paraId="6D575CF8" w14:textId="77777777" w:rsidR="001A4196" w:rsidRPr="005B6405" w:rsidRDefault="001A4196" w:rsidP="00EB296D">
      <w:pPr>
        <w:spacing w:after="0" w:line="240" w:lineRule="auto"/>
        <w:ind w:left="426"/>
        <w:jc w:val="both"/>
        <w:rPr>
          <w:rFonts w:cs="Calibri"/>
          <w:i/>
          <w:iCs/>
          <w:sz w:val="22"/>
          <w:szCs w:val="22"/>
        </w:rPr>
      </w:pPr>
      <w:r w:rsidRPr="005B6405">
        <w:rPr>
          <w:rFonts w:cs="Calibri"/>
          <w:i/>
          <w:iCs/>
          <w:sz w:val="22"/>
          <w:szCs w:val="22"/>
        </w:rPr>
        <w:t>The importation and importation of Medicines in Botswana shall be through a licensed wholesaler authorised by BoMRA.</w:t>
      </w:r>
    </w:p>
    <w:p w14:paraId="4B968849" w14:textId="77777777" w:rsidR="001A4196" w:rsidRPr="005B6405" w:rsidRDefault="001A4196" w:rsidP="004A7F47">
      <w:pPr>
        <w:numPr>
          <w:ilvl w:val="0"/>
          <w:numId w:val="2"/>
        </w:numPr>
        <w:spacing w:after="0" w:line="240" w:lineRule="auto"/>
        <w:ind w:left="851" w:hanging="425"/>
        <w:jc w:val="both"/>
        <w:rPr>
          <w:rFonts w:cs="Calibri"/>
          <w:i/>
          <w:iCs/>
          <w:sz w:val="22"/>
          <w:szCs w:val="22"/>
        </w:rPr>
      </w:pPr>
      <w:r w:rsidRPr="005B6405">
        <w:rPr>
          <w:rFonts w:cs="Calibri"/>
          <w:i/>
          <w:iCs/>
          <w:sz w:val="22"/>
          <w:szCs w:val="22"/>
        </w:rPr>
        <w:t xml:space="preserve">A person shall not manufacture, sell, supply, export, import, distribute, dispense or store a regulated product unless he or she is authorised or licensed by the Authority in accordance with good manufacturing practises and international quality standards. </w:t>
      </w:r>
      <w:bookmarkStart w:id="11" w:name="_Hlk20212414"/>
      <w:r w:rsidRPr="005B6405">
        <w:rPr>
          <w:rFonts w:cs="Calibri"/>
          <w:i/>
          <w:iCs/>
          <w:sz w:val="22"/>
          <w:szCs w:val="22"/>
        </w:rPr>
        <w:t xml:space="preserve">(Sec 58 (1) of the MRSA, 2025). </w:t>
      </w:r>
      <w:bookmarkEnd w:id="11"/>
    </w:p>
    <w:p w14:paraId="68F72B77" w14:textId="77777777" w:rsidR="001A4196" w:rsidRPr="005B6405" w:rsidRDefault="001A4196" w:rsidP="004A7F47">
      <w:pPr>
        <w:numPr>
          <w:ilvl w:val="0"/>
          <w:numId w:val="2"/>
        </w:numPr>
        <w:spacing w:after="0" w:line="240" w:lineRule="auto"/>
        <w:ind w:left="851" w:hanging="425"/>
        <w:jc w:val="both"/>
        <w:rPr>
          <w:rFonts w:cs="Calibri"/>
          <w:i/>
          <w:iCs/>
          <w:sz w:val="22"/>
          <w:szCs w:val="22"/>
        </w:rPr>
      </w:pPr>
      <w:r w:rsidRPr="005B6405" w:rsidDel="00062F5D">
        <w:rPr>
          <w:rFonts w:eastAsiaTheme="minorEastAsia" w:cs="Calibri"/>
          <w:i/>
          <w:iCs/>
          <w:sz w:val="22"/>
          <w:szCs w:val="22"/>
        </w:rPr>
        <w:t xml:space="preserve">A person who wishes to </w:t>
      </w:r>
      <w:r w:rsidRPr="005B6405">
        <w:rPr>
          <w:rFonts w:eastAsiaTheme="minorEastAsia" w:cs="Calibri"/>
          <w:i/>
          <w:iCs/>
          <w:sz w:val="22"/>
          <w:szCs w:val="22"/>
        </w:rPr>
        <w:t>apply for an authorisation or license under subsection (1) shall apply to the Authority in such form and manner and upon payment of such a fee as prescribed (Sec 58 (2) of the MRSA, 2025</w:t>
      </w:r>
    </w:p>
    <w:p w14:paraId="6D4B50FD" w14:textId="77777777" w:rsidR="001A4196" w:rsidRPr="005B6405" w:rsidRDefault="001A4196" w:rsidP="004A7F47">
      <w:pPr>
        <w:numPr>
          <w:ilvl w:val="0"/>
          <w:numId w:val="2"/>
        </w:numPr>
        <w:spacing w:after="0" w:line="240" w:lineRule="auto"/>
        <w:ind w:left="851" w:hanging="425"/>
        <w:jc w:val="both"/>
        <w:rPr>
          <w:rFonts w:eastAsia="Gill Sans MT" w:cs="Gill Sans MT"/>
          <w:i/>
          <w:iCs/>
          <w:sz w:val="22"/>
          <w:szCs w:val="22"/>
        </w:rPr>
      </w:pPr>
      <w:r w:rsidRPr="005B6405">
        <w:rPr>
          <w:rFonts w:eastAsia="Gill Sans MT" w:cs="Gill Sans MT"/>
          <w:i/>
          <w:iCs/>
          <w:sz w:val="22"/>
          <w:szCs w:val="22"/>
        </w:rPr>
        <w:t xml:space="preserve">Where the Authority is satisfied that an application meets the prescribed requirements, the Authority shall issue an authorisation or license in the form and manner as prescribed (Sec 58 (3) of the MRSA, 2025  </w:t>
      </w:r>
    </w:p>
    <w:p w14:paraId="7D6EF52A" w14:textId="77777777" w:rsidR="001A4196" w:rsidRPr="005B6405" w:rsidRDefault="001A4196" w:rsidP="004A7F47">
      <w:pPr>
        <w:numPr>
          <w:ilvl w:val="0"/>
          <w:numId w:val="2"/>
        </w:numPr>
        <w:spacing w:after="0" w:line="240" w:lineRule="auto"/>
        <w:ind w:left="851" w:hanging="425"/>
        <w:jc w:val="both"/>
        <w:rPr>
          <w:rFonts w:eastAsia="Gill Sans MT" w:cs="Gill Sans MT"/>
          <w:i/>
          <w:iCs/>
          <w:sz w:val="22"/>
          <w:szCs w:val="22"/>
        </w:rPr>
      </w:pPr>
      <w:r w:rsidRPr="005B6405">
        <w:rPr>
          <w:rFonts w:eastAsia="Gill Sans MT" w:cs="Gill Sans MT"/>
          <w:i/>
          <w:iCs/>
          <w:sz w:val="22"/>
          <w:szCs w:val="22"/>
        </w:rPr>
        <w:t>The Authority may cancel, suspend, withdraw, revoke, vary or renew an authorisation or license and the provisions of section 40 and 41 shall apply with necessary modifications (Sec 58 (4) of the MRSA, 2025</w:t>
      </w:r>
    </w:p>
    <w:p w14:paraId="24C044D2" w14:textId="77777777" w:rsidR="001A4196" w:rsidRPr="005B6405" w:rsidRDefault="001A4196" w:rsidP="004A7F47">
      <w:pPr>
        <w:numPr>
          <w:ilvl w:val="0"/>
          <w:numId w:val="2"/>
        </w:numPr>
        <w:spacing w:after="0" w:line="240" w:lineRule="auto"/>
        <w:ind w:left="851" w:hanging="425"/>
        <w:jc w:val="both"/>
        <w:rPr>
          <w:rFonts w:eastAsia="Gill Sans MT" w:cs="Gill Sans MT"/>
          <w:i/>
          <w:iCs/>
          <w:sz w:val="22"/>
          <w:szCs w:val="22"/>
        </w:rPr>
      </w:pPr>
      <w:r w:rsidRPr="005B6405">
        <w:rPr>
          <w:rFonts w:eastAsia="Gill Sans MT" w:cs="Gill Sans MT"/>
          <w:i/>
          <w:iCs/>
          <w:sz w:val="22"/>
          <w:szCs w:val="22"/>
        </w:rPr>
        <w:t>The Authority shall-</w:t>
      </w:r>
    </w:p>
    <w:p w14:paraId="7F1CE9CD" w14:textId="77777777" w:rsidR="001A4196" w:rsidRPr="005B6405" w:rsidRDefault="001A4196" w:rsidP="004A7F47">
      <w:pPr>
        <w:numPr>
          <w:ilvl w:val="0"/>
          <w:numId w:val="6"/>
        </w:numPr>
        <w:spacing w:after="0" w:line="240" w:lineRule="auto"/>
        <w:contextualSpacing/>
        <w:jc w:val="both"/>
        <w:rPr>
          <w:rFonts w:eastAsia="Gill Sans MT" w:cs="Gill Sans MT"/>
          <w:i/>
          <w:iCs/>
          <w:sz w:val="22"/>
          <w:szCs w:val="22"/>
        </w:rPr>
      </w:pPr>
      <w:r w:rsidRPr="005B6405">
        <w:rPr>
          <w:rFonts w:eastAsia="Gill Sans MT" w:cs="Gill Sans MT"/>
          <w:i/>
          <w:iCs/>
          <w:sz w:val="22"/>
          <w:szCs w:val="22"/>
        </w:rPr>
        <w:t>Carry out necessary inspections to verify compliance with prescribed requirements and standards of good practice.</w:t>
      </w:r>
    </w:p>
    <w:p w14:paraId="1342628C" w14:textId="77777777" w:rsidR="001A4196" w:rsidRPr="005B6405" w:rsidRDefault="001A4196" w:rsidP="004A7F47">
      <w:pPr>
        <w:numPr>
          <w:ilvl w:val="0"/>
          <w:numId w:val="6"/>
        </w:numPr>
        <w:spacing w:after="0" w:line="240" w:lineRule="auto"/>
        <w:contextualSpacing/>
        <w:jc w:val="both"/>
        <w:rPr>
          <w:rFonts w:eastAsia="Gill Sans MT" w:cs="Gill Sans MT"/>
          <w:i/>
          <w:iCs/>
          <w:sz w:val="22"/>
          <w:szCs w:val="22"/>
        </w:rPr>
      </w:pPr>
      <w:r w:rsidRPr="005B6405">
        <w:rPr>
          <w:rFonts w:eastAsia="Gill Sans MT" w:cs="Gill Sans MT"/>
          <w:i/>
          <w:iCs/>
          <w:sz w:val="22"/>
          <w:szCs w:val="22"/>
        </w:rPr>
        <w:t xml:space="preserve">Keep and maintain a register of all authorised, licensed, suspended, withdrawn, revoked, varied, cancelled and other change of the premises; if satisfied that the prescribed requirement standards of good practise have not been </w:t>
      </w:r>
      <w:proofErr w:type="gramStart"/>
      <w:r w:rsidRPr="005B6405">
        <w:rPr>
          <w:rFonts w:eastAsia="Gill Sans MT" w:cs="Gill Sans MT"/>
          <w:i/>
          <w:iCs/>
          <w:sz w:val="22"/>
          <w:szCs w:val="22"/>
        </w:rPr>
        <w:t>met;</w:t>
      </w:r>
      <w:proofErr w:type="gramEnd"/>
    </w:p>
    <w:p w14:paraId="74CB5F1C" w14:textId="2E60DC5B" w:rsidR="001A4196" w:rsidRPr="005B6405" w:rsidRDefault="001A4196" w:rsidP="004A7F47">
      <w:pPr>
        <w:numPr>
          <w:ilvl w:val="0"/>
          <w:numId w:val="6"/>
        </w:numPr>
        <w:spacing w:after="0" w:line="240" w:lineRule="auto"/>
        <w:contextualSpacing/>
        <w:jc w:val="both"/>
        <w:rPr>
          <w:rFonts w:eastAsia="Gill Sans MT" w:cs="Gill Sans MT"/>
          <w:i/>
          <w:iCs/>
          <w:sz w:val="22"/>
          <w:szCs w:val="22"/>
        </w:rPr>
      </w:pPr>
      <w:r w:rsidRPr="005B6405">
        <w:rPr>
          <w:rFonts w:eastAsia="Gill Sans MT" w:cs="Gill Sans MT"/>
          <w:i/>
          <w:iCs/>
          <w:sz w:val="22"/>
          <w:szCs w:val="22"/>
        </w:rPr>
        <w:t xml:space="preserve">Prescribe a form of the register and make it accessible to the public; and </w:t>
      </w:r>
    </w:p>
    <w:p w14:paraId="390CB59A" w14:textId="77777777" w:rsidR="001A4196" w:rsidRPr="005B6405" w:rsidRDefault="001A4196" w:rsidP="004A7F47">
      <w:pPr>
        <w:numPr>
          <w:ilvl w:val="0"/>
          <w:numId w:val="6"/>
        </w:numPr>
        <w:spacing w:after="0" w:line="240" w:lineRule="auto"/>
        <w:contextualSpacing/>
        <w:jc w:val="both"/>
        <w:rPr>
          <w:rFonts w:eastAsia="Gill Sans MT" w:cs="Gill Sans MT"/>
          <w:i/>
          <w:iCs/>
          <w:sz w:val="22"/>
          <w:szCs w:val="22"/>
        </w:rPr>
      </w:pPr>
      <w:r w:rsidRPr="005B6405">
        <w:rPr>
          <w:rFonts w:eastAsia="Gill Sans MT" w:cs="Gill Sans MT"/>
          <w:i/>
          <w:iCs/>
          <w:sz w:val="22"/>
          <w:szCs w:val="22"/>
        </w:rPr>
        <w:t>for good and sufficient reasons refuse to license or cancel a license for premises which have become unsuitable for purposes for which it is licensed (Sec 58 (7) of the MRSA, 2025</w:t>
      </w:r>
    </w:p>
    <w:p w14:paraId="379F954F" w14:textId="77777777" w:rsidR="001A4196" w:rsidRPr="005B6405" w:rsidRDefault="001A4196" w:rsidP="00EB296D">
      <w:pPr>
        <w:spacing w:after="0" w:line="240" w:lineRule="auto"/>
        <w:ind w:left="1798"/>
        <w:contextualSpacing/>
        <w:jc w:val="both"/>
        <w:rPr>
          <w:rFonts w:eastAsia="Gill Sans MT" w:cs="Gill Sans MT"/>
          <w:i/>
          <w:iCs/>
          <w:sz w:val="22"/>
          <w:szCs w:val="22"/>
        </w:rPr>
      </w:pPr>
    </w:p>
    <w:p w14:paraId="45B18ADD" w14:textId="0EA987D7" w:rsidR="001A4196" w:rsidRPr="005B6405" w:rsidRDefault="001A4196" w:rsidP="00CA5F2C">
      <w:pPr>
        <w:numPr>
          <w:ilvl w:val="0"/>
          <w:numId w:val="2"/>
        </w:numPr>
        <w:spacing w:after="0" w:line="240" w:lineRule="auto"/>
        <w:ind w:left="851" w:hanging="425"/>
        <w:contextualSpacing/>
        <w:jc w:val="both"/>
        <w:rPr>
          <w:rFonts w:cs="Calibri"/>
          <w:i/>
          <w:iCs/>
          <w:sz w:val="20"/>
          <w:szCs w:val="20"/>
        </w:rPr>
      </w:pPr>
      <w:r w:rsidRPr="005B6405">
        <w:rPr>
          <w:rFonts w:eastAsia="Gill Sans MT" w:cs="Gill Sans MT"/>
          <w:i/>
          <w:iCs/>
          <w:sz w:val="22"/>
          <w:szCs w:val="22"/>
        </w:rPr>
        <w:t>A person who contravenes this section commits an offence and is liable to a fine not exceeding P100 000 or to imprisonment for a term not exceeding three years, or to both (Sec 58 (8) of the MRSA, 2025</w:t>
      </w:r>
      <w:r w:rsidR="00BE03F7" w:rsidRPr="005B6405">
        <w:rPr>
          <w:rFonts w:cs="Calibri"/>
          <w:i/>
          <w:iCs/>
          <w:sz w:val="20"/>
          <w:szCs w:val="20"/>
        </w:rPr>
        <w:t>.</w:t>
      </w:r>
    </w:p>
    <w:p w14:paraId="47292896" w14:textId="231ED007" w:rsidR="001A4196" w:rsidRPr="005B6405" w:rsidRDefault="001A4196" w:rsidP="004A7F47">
      <w:pPr>
        <w:numPr>
          <w:ilvl w:val="0"/>
          <w:numId w:val="2"/>
        </w:numPr>
        <w:spacing w:after="0" w:line="240" w:lineRule="auto"/>
        <w:ind w:left="851" w:hanging="425"/>
        <w:jc w:val="both"/>
        <w:rPr>
          <w:rFonts w:cs="Calibri"/>
          <w:i/>
          <w:iCs/>
          <w:sz w:val="22"/>
          <w:szCs w:val="22"/>
        </w:rPr>
      </w:pPr>
      <w:r w:rsidRPr="005B6405">
        <w:rPr>
          <w:rFonts w:cs="Calibri"/>
          <w:i/>
          <w:iCs/>
          <w:sz w:val="22"/>
          <w:szCs w:val="22"/>
        </w:rPr>
        <w:t>A person shall not import, export, manufacture for sale, sell, store, distribute or supply any regulated product which is substandard or falsified Sec 62 (4) of the MRSA, 2025</w:t>
      </w:r>
      <w:r w:rsidR="00BE03F7" w:rsidRPr="005B6405">
        <w:rPr>
          <w:rFonts w:cs="Calibri"/>
          <w:i/>
          <w:iCs/>
          <w:sz w:val="22"/>
          <w:szCs w:val="22"/>
        </w:rPr>
        <w:t>.</w:t>
      </w:r>
      <w:r w:rsidRPr="005B6405">
        <w:rPr>
          <w:rFonts w:cs="Calibri"/>
          <w:i/>
          <w:iCs/>
          <w:sz w:val="22"/>
          <w:szCs w:val="22"/>
        </w:rPr>
        <w:t xml:space="preserve"> </w:t>
      </w:r>
    </w:p>
    <w:p w14:paraId="1106E4BA" w14:textId="18CD0113" w:rsidR="001A4196" w:rsidRPr="005B6405" w:rsidRDefault="001A4196" w:rsidP="004A7F47">
      <w:pPr>
        <w:numPr>
          <w:ilvl w:val="0"/>
          <w:numId w:val="2"/>
        </w:numPr>
        <w:spacing w:after="0" w:line="240" w:lineRule="auto"/>
        <w:ind w:left="851" w:hanging="425"/>
        <w:jc w:val="both"/>
        <w:rPr>
          <w:rFonts w:cs="Calibri"/>
          <w:sz w:val="22"/>
          <w:szCs w:val="22"/>
        </w:rPr>
      </w:pPr>
      <w:r w:rsidRPr="005B6405">
        <w:rPr>
          <w:rFonts w:cs="Calibri"/>
          <w:i/>
          <w:iCs/>
          <w:sz w:val="22"/>
          <w:szCs w:val="22"/>
        </w:rPr>
        <w:t>The Authority shall ensure that all premises are inspected to assess compliance to set guidelines</w:t>
      </w:r>
      <w:r w:rsidR="00BE03F7" w:rsidRPr="005B6405">
        <w:rPr>
          <w:rFonts w:cs="Calibri"/>
          <w:sz w:val="22"/>
          <w:szCs w:val="22"/>
        </w:rPr>
        <w:t>.</w:t>
      </w:r>
    </w:p>
    <w:p w14:paraId="47A644D1" w14:textId="5EE03089" w:rsidR="00505B87" w:rsidRPr="005B6405" w:rsidRDefault="00505B87" w:rsidP="008B53BF">
      <w:pPr>
        <w:spacing w:after="120" w:line="240" w:lineRule="auto"/>
        <w:jc w:val="both"/>
      </w:pPr>
    </w:p>
    <w:p w14:paraId="6AD02A8F" w14:textId="582F5421" w:rsidR="00DA543C" w:rsidRPr="005B6405" w:rsidRDefault="00683782" w:rsidP="001A49B0">
      <w:pPr>
        <w:pStyle w:val="Heading1"/>
        <w:spacing w:before="0" w:after="120" w:line="240" w:lineRule="auto"/>
        <w:jc w:val="both"/>
        <w:rPr>
          <w:rFonts w:ascii="Gill Sans MT" w:hAnsi="Gill Sans MT"/>
          <w:b/>
          <w:bCs/>
          <w:color w:val="auto"/>
          <w:sz w:val="24"/>
          <w:szCs w:val="24"/>
        </w:rPr>
      </w:pPr>
      <w:bookmarkStart w:id="12" w:name="_Toc41489313"/>
      <w:bookmarkStart w:id="13" w:name="_Toc227072324"/>
      <w:r w:rsidRPr="005B6405">
        <w:rPr>
          <w:rFonts w:ascii="Gill Sans MT" w:hAnsi="Gill Sans MT"/>
          <w:b/>
          <w:bCs/>
          <w:color w:val="auto"/>
          <w:sz w:val="24"/>
          <w:szCs w:val="24"/>
        </w:rPr>
        <w:t xml:space="preserve">3. </w:t>
      </w:r>
      <w:r w:rsidR="001A49B0" w:rsidRPr="005B6405">
        <w:rPr>
          <w:rFonts w:ascii="Gill Sans MT" w:hAnsi="Gill Sans MT"/>
          <w:b/>
          <w:bCs/>
          <w:color w:val="auto"/>
          <w:sz w:val="24"/>
          <w:szCs w:val="24"/>
        </w:rPr>
        <w:tab/>
      </w:r>
      <w:r w:rsidRPr="005B6405">
        <w:rPr>
          <w:rFonts w:ascii="Gill Sans MT" w:hAnsi="Gill Sans MT"/>
          <w:b/>
          <w:bCs/>
          <w:color w:val="auto"/>
          <w:sz w:val="24"/>
          <w:szCs w:val="24"/>
        </w:rPr>
        <w:t xml:space="preserve">Definitions and </w:t>
      </w:r>
      <w:r w:rsidR="006F2FD4" w:rsidRPr="005B6405">
        <w:rPr>
          <w:rFonts w:ascii="Gill Sans MT" w:hAnsi="Gill Sans MT"/>
          <w:b/>
          <w:bCs/>
          <w:color w:val="auto"/>
          <w:sz w:val="24"/>
          <w:szCs w:val="24"/>
        </w:rPr>
        <w:t>Abbreviations</w:t>
      </w:r>
      <w:bookmarkEnd w:id="12"/>
      <w:bookmarkEnd w:id="13"/>
    </w:p>
    <w:p w14:paraId="615B3D39" w14:textId="2ABB48C9" w:rsidR="006F2FD4" w:rsidRPr="005B6405" w:rsidRDefault="00A0444B" w:rsidP="001A49B0">
      <w:pPr>
        <w:pStyle w:val="Heading2"/>
        <w:spacing w:before="0" w:after="120" w:line="240" w:lineRule="auto"/>
        <w:jc w:val="both"/>
        <w:rPr>
          <w:rFonts w:ascii="Gill Sans MT" w:hAnsi="Gill Sans MT"/>
          <w:b/>
          <w:bCs/>
          <w:color w:val="auto"/>
          <w:sz w:val="24"/>
          <w:szCs w:val="24"/>
        </w:rPr>
      </w:pPr>
      <w:bookmarkStart w:id="14" w:name="_Toc41489314"/>
      <w:bookmarkStart w:id="15" w:name="_Toc227072325"/>
      <w:r w:rsidRPr="005B6405">
        <w:rPr>
          <w:rFonts w:ascii="Gill Sans MT" w:hAnsi="Gill Sans MT"/>
          <w:b/>
          <w:bCs/>
          <w:color w:val="auto"/>
          <w:sz w:val="24"/>
          <w:szCs w:val="24"/>
        </w:rPr>
        <w:t xml:space="preserve">3.1 </w:t>
      </w:r>
      <w:r w:rsidR="001A49B0" w:rsidRPr="005B6405">
        <w:rPr>
          <w:rFonts w:ascii="Gill Sans MT" w:hAnsi="Gill Sans MT"/>
          <w:b/>
          <w:bCs/>
          <w:color w:val="auto"/>
          <w:sz w:val="24"/>
          <w:szCs w:val="24"/>
        </w:rPr>
        <w:tab/>
      </w:r>
      <w:r w:rsidR="006F2FD4" w:rsidRPr="005B6405">
        <w:rPr>
          <w:rFonts w:ascii="Gill Sans MT" w:hAnsi="Gill Sans MT"/>
          <w:b/>
          <w:bCs/>
          <w:color w:val="auto"/>
          <w:sz w:val="24"/>
          <w:szCs w:val="24"/>
        </w:rPr>
        <w:t>Definitions</w:t>
      </w:r>
      <w:bookmarkEnd w:id="14"/>
      <w:bookmarkEnd w:id="15"/>
    </w:p>
    <w:p w14:paraId="5F3983C5" w14:textId="3290BFFD" w:rsidR="00442520" w:rsidRPr="005B6405" w:rsidRDefault="00B14AE2" w:rsidP="00E1340A">
      <w:pPr>
        <w:spacing w:after="0"/>
        <w:rPr>
          <w:sz w:val="22"/>
          <w:szCs w:val="22"/>
        </w:rPr>
      </w:pPr>
      <w:r w:rsidRPr="005B6405">
        <w:tab/>
      </w:r>
      <w:proofErr w:type="gramStart"/>
      <w:r w:rsidRPr="005B6405">
        <w:rPr>
          <w:sz w:val="22"/>
          <w:szCs w:val="22"/>
        </w:rPr>
        <w:t>For the purpose of</w:t>
      </w:r>
      <w:proofErr w:type="gramEnd"/>
      <w:r w:rsidRPr="005B6405">
        <w:rPr>
          <w:sz w:val="22"/>
          <w:szCs w:val="22"/>
        </w:rPr>
        <w:t xml:space="preserve"> these guidelines the following terms shall be defined as follows:</w:t>
      </w:r>
    </w:p>
    <w:p w14:paraId="7CE5176A" w14:textId="1E8BCE0B" w:rsidR="00067B58" w:rsidRPr="005B6405" w:rsidRDefault="00A0444B" w:rsidP="00E1340A">
      <w:pPr>
        <w:spacing w:after="0" w:line="240" w:lineRule="auto"/>
        <w:ind w:left="720" w:hanging="720"/>
        <w:jc w:val="both"/>
        <w:rPr>
          <w:rFonts w:eastAsia="Times New Roman" w:cs="Times New Roman"/>
          <w:sz w:val="22"/>
          <w:szCs w:val="22"/>
        </w:rPr>
      </w:pPr>
      <w:bookmarkStart w:id="16" w:name="_Toc41770927"/>
      <w:bookmarkStart w:id="17" w:name="_Toc41775089"/>
      <w:bookmarkStart w:id="18" w:name="_Hlk41746499"/>
      <w:r w:rsidRPr="005B6405">
        <w:rPr>
          <w:rFonts w:eastAsia="Times New Roman" w:cs="Times New Roman"/>
          <w:bCs/>
          <w:sz w:val="22"/>
          <w:szCs w:val="22"/>
        </w:rPr>
        <w:t>3.1.1</w:t>
      </w:r>
      <w:r w:rsidRPr="005B6405">
        <w:rPr>
          <w:rFonts w:eastAsia="Times New Roman" w:cs="Times New Roman"/>
          <w:b/>
          <w:sz w:val="22"/>
          <w:szCs w:val="22"/>
        </w:rPr>
        <w:t xml:space="preserve"> </w:t>
      </w:r>
      <w:r w:rsidR="001A49B0" w:rsidRPr="005B6405">
        <w:rPr>
          <w:rFonts w:eastAsia="Times New Roman" w:cs="Times New Roman"/>
          <w:b/>
          <w:sz w:val="22"/>
          <w:szCs w:val="22"/>
        </w:rPr>
        <w:tab/>
      </w:r>
      <w:r w:rsidR="00373E3E" w:rsidRPr="005B6405">
        <w:rPr>
          <w:rFonts w:eastAsia="Times New Roman" w:cs="Times New Roman"/>
          <w:b/>
          <w:sz w:val="22"/>
          <w:szCs w:val="22"/>
        </w:rPr>
        <w:t>Standalone</w:t>
      </w:r>
      <w:r w:rsidR="00067B58" w:rsidRPr="005B6405">
        <w:rPr>
          <w:rFonts w:eastAsia="Times New Roman" w:cs="Times New Roman"/>
          <w:b/>
          <w:sz w:val="22"/>
          <w:szCs w:val="22"/>
        </w:rPr>
        <w:t xml:space="preserve"> Pharmacy</w:t>
      </w:r>
      <w:r w:rsidR="00067B58" w:rsidRPr="005B6405">
        <w:rPr>
          <w:rFonts w:eastAsia="Times New Roman" w:cs="Times New Roman"/>
          <w:bCs/>
          <w:sz w:val="22"/>
          <w:szCs w:val="22"/>
        </w:rPr>
        <w:t xml:space="preserve"> –</w:t>
      </w:r>
      <w:bookmarkEnd w:id="16"/>
      <w:bookmarkEnd w:id="17"/>
      <w:r w:rsidR="00A50DC8" w:rsidRPr="005B6405">
        <w:rPr>
          <w:rFonts w:eastAsia="Times New Roman" w:cs="Times New Roman"/>
          <w:bCs/>
          <w:sz w:val="22"/>
          <w:szCs w:val="22"/>
        </w:rPr>
        <w:t xml:space="preserve"> </w:t>
      </w:r>
      <w:r w:rsidR="00184BB9" w:rsidRPr="005B6405">
        <w:rPr>
          <w:rFonts w:eastAsia="Times New Roman" w:cs="Times New Roman"/>
          <w:bCs/>
          <w:sz w:val="22"/>
          <w:szCs w:val="22"/>
        </w:rPr>
        <w:t xml:space="preserve">means </w:t>
      </w:r>
      <w:r w:rsidR="00824065" w:rsidRPr="005B6405">
        <w:rPr>
          <w:rFonts w:eastAsia="Times New Roman" w:cs="Times New Roman"/>
          <w:sz w:val="22"/>
          <w:szCs w:val="22"/>
        </w:rPr>
        <w:t>premises, labelled as such, licensed by the</w:t>
      </w:r>
      <w:r w:rsidR="003D7ABD" w:rsidRPr="005B6405">
        <w:rPr>
          <w:rFonts w:eastAsia="Times New Roman" w:cs="Times New Roman"/>
          <w:sz w:val="22"/>
          <w:szCs w:val="22"/>
        </w:rPr>
        <w:t xml:space="preserve"> </w:t>
      </w:r>
      <w:r w:rsidR="00824065" w:rsidRPr="005B6405">
        <w:rPr>
          <w:rFonts w:eastAsia="Times New Roman" w:cs="Times New Roman"/>
          <w:sz w:val="22"/>
          <w:szCs w:val="22"/>
        </w:rPr>
        <w:t>Medicines Regulatory Authority for the storing, dispensing, and</w:t>
      </w:r>
      <w:r w:rsidR="00495E32" w:rsidRPr="005B6405">
        <w:rPr>
          <w:rFonts w:eastAsia="Times New Roman" w:cs="Times New Roman"/>
          <w:sz w:val="22"/>
          <w:szCs w:val="22"/>
        </w:rPr>
        <w:t xml:space="preserve"> </w:t>
      </w:r>
      <w:r w:rsidR="00824065" w:rsidRPr="005B6405">
        <w:rPr>
          <w:rFonts w:eastAsia="Times New Roman" w:cs="Times New Roman"/>
          <w:sz w:val="22"/>
          <w:szCs w:val="22"/>
        </w:rPr>
        <w:t>selling of me</w:t>
      </w:r>
      <w:r w:rsidR="00184BB9" w:rsidRPr="005B6405">
        <w:rPr>
          <w:rFonts w:eastAsia="Times New Roman" w:cs="Times New Roman"/>
          <w:sz w:val="22"/>
          <w:szCs w:val="22"/>
        </w:rPr>
        <w:t>dical products,</w:t>
      </w:r>
      <w:r w:rsidR="00824065" w:rsidRPr="005B6405">
        <w:rPr>
          <w:rFonts w:eastAsia="Times New Roman" w:cs="Times New Roman"/>
          <w:sz w:val="22"/>
          <w:szCs w:val="22"/>
        </w:rPr>
        <w:t xml:space="preserve"> and which is under the continuous control</w:t>
      </w:r>
      <w:r w:rsidR="00495E32" w:rsidRPr="005B6405">
        <w:rPr>
          <w:rFonts w:eastAsia="Times New Roman" w:cs="Times New Roman"/>
          <w:sz w:val="22"/>
          <w:szCs w:val="22"/>
        </w:rPr>
        <w:t xml:space="preserve"> </w:t>
      </w:r>
      <w:r w:rsidR="00824065" w:rsidRPr="005B6405">
        <w:rPr>
          <w:rFonts w:eastAsia="Times New Roman" w:cs="Times New Roman"/>
          <w:sz w:val="22"/>
          <w:szCs w:val="22"/>
        </w:rPr>
        <w:t>and supervision of a</w:t>
      </w:r>
      <w:r w:rsidR="007235FE" w:rsidRPr="005B6405">
        <w:rPr>
          <w:rFonts w:eastAsia="Times New Roman" w:cs="Times New Roman"/>
          <w:sz w:val="22"/>
          <w:szCs w:val="22"/>
        </w:rPr>
        <w:t xml:space="preserve"> registered</w:t>
      </w:r>
      <w:r w:rsidR="00824065" w:rsidRPr="005B6405">
        <w:rPr>
          <w:rFonts w:eastAsia="Times New Roman" w:cs="Times New Roman"/>
          <w:sz w:val="22"/>
          <w:szCs w:val="22"/>
        </w:rPr>
        <w:t xml:space="preserve"> </w:t>
      </w:r>
      <w:r w:rsidR="007235FE" w:rsidRPr="005B6405">
        <w:rPr>
          <w:rFonts w:eastAsia="Times New Roman" w:cs="Times New Roman"/>
          <w:sz w:val="22"/>
          <w:szCs w:val="22"/>
        </w:rPr>
        <w:t>pharmacist.</w:t>
      </w:r>
    </w:p>
    <w:p w14:paraId="7F30FF4B" w14:textId="0B435473" w:rsidR="002529B3" w:rsidRPr="005B6405" w:rsidRDefault="00A0444B" w:rsidP="00E1340A">
      <w:pPr>
        <w:spacing w:after="0" w:line="240" w:lineRule="auto"/>
        <w:ind w:left="720" w:hanging="720"/>
        <w:jc w:val="both"/>
        <w:rPr>
          <w:rFonts w:eastAsia="Times New Roman" w:cs="Times New Roman"/>
          <w:sz w:val="22"/>
          <w:szCs w:val="22"/>
        </w:rPr>
      </w:pPr>
      <w:bookmarkStart w:id="19" w:name="_Toc41770928"/>
      <w:bookmarkStart w:id="20" w:name="_Toc41775090"/>
      <w:bookmarkEnd w:id="18"/>
      <w:r w:rsidRPr="005B6405">
        <w:rPr>
          <w:rFonts w:eastAsia="Times New Roman" w:cs="Times New Roman"/>
          <w:sz w:val="22"/>
          <w:szCs w:val="22"/>
        </w:rPr>
        <w:t>3.1.</w:t>
      </w:r>
      <w:r w:rsidR="003D7ABD" w:rsidRPr="005B6405">
        <w:rPr>
          <w:rFonts w:eastAsia="Times New Roman" w:cs="Times New Roman"/>
          <w:sz w:val="22"/>
          <w:szCs w:val="22"/>
        </w:rPr>
        <w:t>3</w:t>
      </w:r>
      <w:r w:rsidRPr="005B6405">
        <w:rPr>
          <w:rFonts w:eastAsia="Times New Roman" w:cs="Times New Roman"/>
          <w:b/>
          <w:bCs/>
          <w:sz w:val="22"/>
          <w:szCs w:val="22"/>
        </w:rPr>
        <w:t xml:space="preserve"> </w:t>
      </w:r>
      <w:r w:rsidR="001A49B0" w:rsidRPr="005B6405">
        <w:rPr>
          <w:rFonts w:eastAsia="Times New Roman" w:cs="Times New Roman"/>
          <w:b/>
          <w:bCs/>
          <w:sz w:val="22"/>
          <w:szCs w:val="22"/>
        </w:rPr>
        <w:tab/>
      </w:r>
      <w:r w:rsidR="00067B58" w:rsidRPr="005B6405">
        <w:rPr>
          <w:rFonts w:eastAsia="Times New Roman" w:cs="Times New Roman"/>
          <w:b/>
          <w:bCs/>
          <w:sz w:val="22"/>
          <w:szCs w:val="22"/>
        </w:rPr>
        <w:t>Dispensary</w:t>
      </w:r>
      <w:r w:rsidR="00067B58" w:rsidRPr="005B6405">
        <w:rPr>
          <w:rFonts w:eastAsia="Times New Roman" w:cs="Times New Roman"/>
          <w:sz w:val="22"/>
          <w:szCs w:val="22"/>
        </w:rPr>
        <w:t xml:space="preserve"> - </w:t>
      </w:r>
      <w:r w:rsidR="00266ED8" w:rsidRPr="005B6405">
        <w:rPr>
          <w:rFonts w:eastAsia="Times New Roman" w:cs="Times New Roman"/>
          <w:sz w:val="22"/>
          <w:szCs w:val="22"/>
        </w:rPr>
        <w:t>dispensary” means any premises in which an authorised dispenser</w:t>
      </w:r>
      <w:r w:rsidR="00A50DC8" w:rsidRPr="005B6405">
        <w:rPr>
          <w:rFonts w:eastAsia="Times New Roman" w:cs="Times New Roman"/>
          <w:sz w:val="22"/>
          <w:szCs w:val="22"/>
        </w:rPr>
        <w:t xml:space="preserve"> </w:t>
      </w:r>
      <w:r w:rsidR="00266ED8" w:rsidRPr="005B6405">
        <w:rPr>
          <w:rFonts w:eastAsia="Times New Roman" w:cs="Times New Roman"/>
          <w:sz w:val="22"/>
          <w:szCs w:val="22"/>
        </w:rPr>
        <w:t>stores, handles, and dispenses medicine listed under Schedule 1,</w:t>
      </w:r>
      <w:r w:rsidR="00524F30" w:rsidRPr="005B6405">
        <w:rPr>
          <w:rFonts w:eastAsia="Times New Roman" w:cs="Times New Roman"/>
          <w:sz w:val="22"/>
          <w:szCs w:val="22"/>
        </w:rPr>
        <w:t xml:space="preserve"> </w:t>
      </w:r>
      <w:r w:rsidR="00266ED8" w:rsidRPr="005B6405">
        <w:rPr>
          <w:rFonts w:eastAsia="Times New Roman" w:cs="Times New Roman"/>
          <w:sz w:val="22"/>
          <w:szCs w:val="22"/>
        </w:rPr>
        <w:t xml:space="preserve">2 or </w:t>
      </w:r>
      <w:r w:rsidR="00122C1F" w:rsidRPr="005B6405">
        <w:rPr>
          <w:rFonts w:eastAsia="Times New Roman" w:cs="Times New Roman"/>
          <w:sz w:val="22"/>
          <w:szCs w:val="22"/>
        </w:rPr>
        <w:t>3.</w:t>
      </w:r>
    </w:p>
    <w:p w14:paraId="5B8DBAFE" w14:textId="77777777" w:rsidR="00522ACE" w:rsidRPr="005B6405" w:rsidRDefault="00522ACE" w:rsidP="00E1340A">
      <w:pPr>
        <w:spacing w:after="0" w:line="240" w:lineRule="auto"/>
        <w:ind w:left="720" w:hanging="720"/>
        <w:jc w:val="both"/>
        <w:rPr>
          <w:rFonts w:eastAsia="Times New Roman" w:cs="Times New Roman"/>
          <w:sz w:val="22"/>
          <w:szCs w:val="22"/>
        </w:rPr>
      </w:pPr>
    </w:p>
    <w:p w14:paraId="05F44EB5" w14:textId="085802E1" w:rsidR="00A0444B" w:rsidRPr="005B6405" w:rsidRDefault="00A0444B" w:rsidP="001A49B0">
      <w:pPr>
        <w:pStyle w:val="Heading2"/>
        <w:spacing w:before="0" w:after="120" w:line="240" w:lineRule="auto"/>
        <w:jc w:val="both"/>
        <w:rPr>
          <w:rFonts w:ascii="Gill Sans MT" w:hAnsi="Gill Sans MT"/>
          <w:b/>
          <w:bCs/>
          <w:color w:val="auto"/>
          <w:sz w:val="24"/>
          <w:szCs w:val="24"/>
        </w:rPr>
      </w:pPr>
      <w:bookmarkStart w:id="21" w:name="_Toc227072326"/>
      <w:bookmarkEnd w:id="19"/>
      <w:bookmarkEnd w:id="20"/>
      <w:r w:rsidRPr="005B6405">
        <w:rPr>
          <w:rFonts w:ascii="Gill Sans MT" w:hAnsi="Gill Sans MT"/>
          <w:b/>
          <w:bCs/>
          <w:color w:val="auto"/>
          <w:sz w:val="24"/>
          <w:szCs w:val="24"/>
        </w:rPr>
        <w:t xml:space="preserve">3.2 </w:t>
      </w:r>
      <w:r w:rsidR="001A49B0" w:rsidRPr="005B6405">
        <w:rPr>
          <w:rFonts w:ascii="Gill Sans MT" w:hAnsi="Gill Sans MT"/>
          <w:b/>
          <w:bCs/>
          <w:color w:val="auto"/>
          <w:sz w:val="24"/>
          <w:szCs w:val="24"/>
        </w:rPr>
        <w:tab/>
      </w:r>
      <w:r w:rsidRPr="005B6405">
        <w:rPr>
          <w:rFonts w:ascii="Gill Sans MT" w:hAnsi="Gill Sans MT"/>
          <w:b/>
          <w:bCs/>
          <w:color w:val="auto"/>
          <w:sz w:val="24"/>
          <w:szCs w:val="24"/>
        </w:rPr>
        <w:t>Abbreviations</w:t>
      </w:r>
      <w:bookmarkEnd w:id="21"/>
      <w:r w:rsidRPr="005B6405">
        <w:rPr>
          <w:rFonts w:ascii="Gill Sans MT" w:hAnsi="Gill Sans MT"/>
          <w:b/>
          <w:bCs/>
          <w:color w:val="auto"/>
          <w:sz w:val="24"/>
          <w:szCs w:val="24"/>
        </w:rPr>
        <w:t xml:space="preserve"> </w:t>
      </w:r>
    </w:p>
    <w:p w14:paraId="5F7361E4" w14:textId="559AA27B" w:rsidR="00D671AA" w:rsidRPr="005B6405" w:rsidRDefault="003E4FF5" w:rsidP="009A424B">
      <w:pPr>
        <w:spacing w:after="0"/>
        <w:ind w:firstLine="720"/>
        <w:rPr>
          <w:sz w:val="22"/>
          <w:szCs w:val="22"/>
        </w:rPr>
      </w:pPr>
      <w:r w:rsidRPr="005B6405">
        <w:rPr>
          <w:sz w:val="22"/>
          <w:szCs w:val="22"/>
        </w:rPr>
        <w:t>For the purposes of this Guideline, the following abbreviations shall apply:</w:t>
      </w:r>
    </w:p>
    <w:p w14:paraId="73402A57" w14:textId="54DCB41E" w:rsidR="000E0C46" w:rsidRPr="005B6405" w:rsidRDefault="00A0444B" w:rsidP="003E4FF5">
      <w:pPr>
        <w:spacing w:after="0" w:line="240" w:lineRule="auto"/>
        <w:jc w:val="both"/>
        <w:rPr>
          <w:bCs/>
          <w:sz w:val="22"/>
          <w:szCs w:val="22"/>
        </w:rPr>
      </w:pPr>
      <w:r w:rsidRPr="005B6405">
        <w:rPr>
          <w:bCs/>
          <w:sz w:val="22"/>
          <w:szCs w:val="22"/>
        </w:rPr>
        <w:t>3.2.1</w:t>
      </w:r>
      <w:r w:rsidRPr="005B6405">
        <w:rPr>
          <w:b/>
          <w:sz w:val="22"/>
          <w:szCs w:val="22"/>
        </w:rPr>
        <w:t xml:space="preserve"> </w:t>
      </w:r>
      <w:r w:rsidR="001A49B0" w:rsidRPr="005B6405">
        <w:rPr>
          <w:b/>
          <w:sz w:val="22"/>
          <w:szCs w:val="22"/>
        </w:rPr>
        <w:tab/>
      </w:r>
      <w:r w:rsidR="00C36D13" w:rsidRPr="005B6405">
        <w:rPr>
          <w:b/>
          <w:sz w:val="22"/>
          <w:szCs w:val="22"/>
        </w:rPr>
        <w:t>BHPC</w:t>
      </w:r>
      <w:r w:rsidR="00522ACE" w:rsidRPr="005B6405">
        <w:rPr>
          <w:b/>
          <w:sz w:val="22"/>
          <w:szCs w:val="22"/>
        </w:rPr>
        <w:t xml:space="preserve"> </w:t>
      </w:r>
      <w:r w:rsidR="00C36D13" w:rsidRPr="005B6405">
        <w:rPr>
          <w:b/>
          <w:sz w:val="22"/>
          <w:szCs w:val="22"/>
        </w:rPr>
        <w:t xml:space="preserve">– </w:t>
      </w:r>
      <w:r w:rsidR="00C36D13" w:rsidRPr="005B6405">
        <w:rPr>
          <w:bCs/>
          <w:sz w:val="22"/>
          <w:szCs w:val="22"/>
        </w:rPr>
        <w:t>Botswana Health Practitioners Council</w:t>
      </w:r>
    </w:p>
    <w:p w14:paraId="15B7EA56" w14:textId="0BAEF1B3" w:rsidR="00977655" w:rsidRPr="005B6405" w:rsidRDefault="00977655" w:rsidP="003E4FF5">
      <w:pPr>
        <w:spacing w:after="0" w:line="240" w:lineRule="auto"/>
        <w:jc w:val="both"/>
        <w:rPr>
          <w:bCs/>
          <w:sz w:val="22"/>
          <w:szCs w:val="22"/>
        </w:rPr>
      </w:pPr>
      <w:r w:rsidRPr="005B6405">
        <w:rPr>
          <w:bCs/>
          <w:sz w:val="22"/>
          <w:szCs w:val="22"/>
        </w:rPr>
        <w:t>3.2.2</w:t>
      </w:r>
      <w:r w:rsidRPr="005B6405">
        <w:rPr>
          <w:bCs/>
          <w:sz w:val="22"/>
          <w:szCs w:val="22"/>
        </w:rPr>
        <w:tab/>
      </w:r>
      <w:r w:rsidRPr="005B6405">
        <w:rPr>
          <w:b/>
          <w:sz w:val="22"/>
          <w:szCs w:val="22"/>
        </w:rPr>
        <w:t>BRIMS</w:t>
      </w:r>
      <w:r w:rsidRPr="005B6405">
        <w:rPr>
          <w:bCs/>
          <w:sz w:val="22"/>
          <w:szCs w:val="22"/>
        </w:rPr>
        <w:t xml:space="preserve"> -</w:t>
      </w:r>
      <w:r w:rsidR="005E113A" w:rsidRPr="005B6405">
        <w:rPr>
          <w:bCs/>
          <w:sz w:val="22"/>
          <w:szCs w:val="22"/>
        </w:rPr>
        <w:t xml:space="preserve"> </w:t>
      </w:r>
      <w:r w:rsidRPr="005B6405">
        <w:rPr>
          <w:bCs/>
          <w:sz w:val="22"/>
          <w:szCs w:val="22"/>
        </w:rPr>
        <w:t>B</w:t>
      </w:r>
      <w:r w:rsidR="00C43FA2" w:rsidRPr="005B6405">
        <w:rPr>
          <w:bCs/>
          <w:sz w:val="22"/>
          <w:szCs w:val="22"/>
        </w:rPr>
        <w:t>o</w:t>
      </w:r>
      <w:r w:rsidRPr="005B6405">
        <w:rPr>
          <w:bCs/>
          <w:sz w:val="22"/>
          <w:szCs w:val="22"/>
        </w:rPr>
        <w:t>MRA Regulatory</w:t>
      </w:r>
      <w:r w:rsidR="00E04C46" w:rsidRPr="005B6405">
        <w:rPr>
          <w:bCs/>
          <w:sz w:val="22"/>
          <w:szCs w:val="22"/>
        </w:rPr>
        <w:t xml:space="preserve"> Information Management System</w:t>
      </w:r>
    </w:p>
    <w:p w14:paraId="6A222E5C" w14:textId="517B118E" w:rsidR="00A0444B" w:rsidRPr="005B6405" w:rsidRDefault="00A0444B" w:rsidP="001F604F">
      <w:pPr>
        <w:pStyle w:val="NoSpacing"/>
      </w:pPr>
      <w:r w:rsidRPr="005B6405">
        <w:rPr>
          <w:bCs/>
        </w:rPr>
        <w:t>3.2.</w:t>
      </w:r>
      <w:r w:rsidR="00AA7D47" w:rsidRPr="005B6405">
        <w:rPr>
          <w:bCs/>
        </w:rPr>
        <w:t>2</w:t>
      </w:r>
      <w:r w:rsidRPr="005B6405">
        <w:rPr>
          <w:b/>
        </w:rPr>
        <w:t xml:space="preserve"> </w:t>
      </w:r>
      <w:r w:rsidR="001A49B0" w:rsidRPr="005B6405">
        <w:rPr>
          <w:b/>
        </w:rPr>
        <w:tab/>
      </w:r>
      <w:r w:rsidR="00843878" w:rsidRPr="005B6405">
        <w:rPr>
          <w:b/>
        </w:rPr>
        <w:t>G</w:t>
      </w:r>
      <w:r w:rsidR="000E0C46" w:rsidRPr="005B6405">
        <w:rPr>
          <w:b/>
        </w:rPr>
        <w:t>S</w:t>
      </w:r>
      <w:r w:rsidR="00843878" w:rsidRPr="005B6405">
        <w:rPr>
          <w:b/>
        </w:rPr>
        <w:t>DP</w:t>
      </w:r>
      <w:r w:rsidR="00522ACE" w:rsidRPr="005B6405">
        <w:rPr>
          <w:b/>
        </w:rPr>
        <w:t xml:space="preserve"> </w:t>
      </w:r>
      <w:r w:rsidR="00077EC3" w:rsidRPr="005B6405">
        <w:rPr>
          <w:b/>
        </w:rPr>
        <w:t>-</w:t>
      </w:r>
      <w:r w:rsidR="00843878" w:rsidRPr="005B6405">
        <w:t xml:space="preserve"> Good </w:t>
      </w:r>
      <w:r w:rsidR="000E0C46" w:rsidRPr="005B6405">
        <w:t xml:space="preserve">Storage and </w:t>
      </w:r>
      <w:r w:rsidR="00843878" w:rsidRPr="005B6405">
        <w:t>Distribution Practice</w:t>
      </w:r>
      <w:r w:rsidR="00843878" w:rsidRPr="005B6405">
        <w:rPr>
          <w:b/>
        </w:rPr>
        <w:t xml:space="preserve"> </w:t>
      </w:r>
    </w:p>
    <w:p w14:paraId="3C5960FB" w14:textId="59591BE4" w:rsidR="00A0444B" w:rsidRPr="005B6405" w:rsidRDefault="00A0444B" w:rsidP="003E4FF5">
      <w:pPr>
        <w:spacing w:after="0" w:line="240" w:lineRule="auto"/>
        <w:jc w:val="both"/>
        <w:rPr>
          <w:sz w:val="22"/>
          <w:szCs w:val="22"/>
        </w:rPr>
      </w:pPr>
      <w:r w:rsidRPr="005B6405">
        <w:rPr>
          <w:sz w:val="22"/>
          <w:szCs w:val="22"/>
        </w:rPr>
        <w:t>3.2.</w:t>
      </w:r>
      <w:r w:rsidR="00AA7D47" w:rsidRPr="005B6405">
        <w:rPr>
          <w:sz w:val="22"/>
          <w:szCs w:val="22"/>
        </w:rPr>
        <w:t>3</w:t>
      </w:r>
      <w:r w:rsidRPr="005B6405">
        <w:rPr>
          <w:b/>
          <w:bCs/>
          <w:sz w:val="22"/>
          <w:szCs w:val="22"/>
        </w:rPr>
        <w:t xml:space="preserve"> </w:t>
      </w:r>
      <w:r w:rsidR="001A49B0" w:rsidRPr="005B6405">
        <w:rPr>
          <w:b/>
          <w:bCs/>
          <w:sz w:val="22"/>
          <w:szCs w:val="22"/>
        </w:rPr>
        <w:tab/>
      </w:r>
      <w:r w:rsidRPr="005B6405">
        <w:rPr>
          <w:b/>
          <w:bCs/>
          <w:sz w:val="22"/>
          <w:szCs w:val="22"/>
        </w:rPr>
        <w:t>PPL</w:t>
      </w:r>
      <w:r w:rsidR="00522ACE" w:rsidRPr="005B6405">
        <w:rPr>
          <w:b/>
          <w:bCs/>
          <w:sz w:val="22"/>
          <w:szCs w:val="22"/>
        </w:rPr>
        <w:t xml:space="preserve"> -</w:t>
      </w:r>
      <w:r w:rsidRPr="005B6405">
        <w:rPr>
          <w:sz w:val="22"/>
          <w:szCs w:val="22"/>
        </w:rPr>
        <w:t xml:space="preserve"> Private Practice License</w:t>
      </w:r>
    </w:p>
    <w:p w14:paraId="3224D74A" w14:textId="2E5609BA" w:rsidR="004840FE" w:rsidRPr="005B6405" w:rsidRDefault="004840FE" w:rsidP="003E4FF5">
      <w:pPr>
        <w:spacing w:after="0" w:line="240" w:lineRule="auto"/>
        <w:jc w:val="both"/>
        <w:rPr>
          <w:sz w:val="22"/>
          <w:szCs w:val="22"/>
        </w:rPr>
      </w:pPr>
      <w:r w:rsidRPr="005B6405">
        <w:rPr>
          <w:sz w:val="22"/>
          <w:szCs w:val="22"/>
        </w:rPr>
        <w:t>3</w:t>
      </w:r>
      <w:r w:rsidR="00785DBC" w:rsidRPr="005B6405">
        <w:rPr>
          <w:sz w:val="22"/>
          <w:szCs w:val="22"/>
        </w:rPr>
        <w:t>.2.4</w:t>
      </w:r>
      <w:r w:rsidR="00785DBC" w:rsidRPr="005B6405">
        <w:rPr>
          <w:sz w:val="22"/>
          <w:szCs w:val="22"/>
        </w:rPr>
        <w:tab/>
      </w:r>
      <w:r w:rsidR="00785DBC" w:rsidRPr="005B6405">
        <w:rPr>
          <w:b/>
          <w:bCs/>
          <w:sz w:val="22"/>
          <w:szCs w:val="22"/>
        </w:rPr>
        <w:t>SOP</w:t>
      </w:r>
      <w:r w:rsidR="00785DBC" w:rsidRPr="005B6405">
        <w:rPr>
          <w:sz w:val="22"/>
          <w:szCs w:val="22"/>
        </w:rPr>
        <w:t xml:space="preserve"> – Standard Operating Procedure</w:t>
      </w:r>
    </w:p>
    <w:p w14:paraId="5A74D527" w14:textId="77777777" w:rsidR="0011567F" w:rsidRPr="005B6405" w:rsidRDefault="0011567F" w:rsidP="00695FBC">
      <w:pPr>
        <w:spacing w:after="0" w:line="240" w:lineRule="auto"/>
        <w:jc w:val="both"/>
        <w:rPr>
          <w:sz w:val="22"/>
          <w:szCs w:val="22"/>
        </w:rPr>
      </w:pPr>
    </w:p>
    <w:p w14:paraId="7B3AD390" w14:textId="0105E422" w:rsidR="002C1ECD" w:rsidRPr="005B6405" w:rsidRDefault="002C1ECD" w:rsidP="004A7F47">
      <w:pPr>
        <w:pStyle w:val="Heading1"/>
        <w:numPr>
          <w:ilvl w:val="0"/>
          <w:numId w:val="7"/>
        </w:numPr>
        <w:spacing w:before="0" w:after="120" w:line="240" w:lineRule="auto"/>
        <w:ind w:hanging="720"/>
        <w:jc w:val="both"/>
        <w:rPr>
          <w:rFonts w:ascii="Gill Sans MT" w:hAnsi="Gill Sans MT"/>
          <w:b/>
          <w:bCs/>
          <w:color w:val="auto"/>
          <w:sz w:val="24"/>
          <w:szCs w:val="24"/>
        </w:rPr>
      </w:pPr>
      <w:bookmarkStart w:id="22" w:name="_Toc227072327"/>
      <w:bookmarkStart w:id="23" w:name="_Toc41489315"/>
      <w:r w:rsidRPr="005B6405">
        <w:rPr>
          <w:rFonts w:ascii="Gill Sans MT" w:hAnsi="Gill Sans MT"/>
          <w:b/>
          <w:bCs/>
          <w:color w:val="auto"/>
          <w:sz w:val="24"/>
          <w:szCs w:val="24"/>
        </w:rPr>
        <w:t>Scope</w:t>
      </w:r>
      <w:bookmarkEnd w:id="22"/>
    </w:p>
    <w:p w14:paraId="1540AD11" w14:textId="47FE6910" w:rsidR="00C664A7" w:rsidRPr="005B6405" w:rsidRDefault="00C9182F" w:rsidP="004A7F47">
      <w:pPr>
        <w:pStyle w:val="ListParagraph"/>
        <w:numPr>
          <w:ilvl w:val="0"/>
          <w:numId w:val="8"/>
        </w:numPr>
        <w:ind w:hanging="792"/>
      </w:pPr>
      <w:r w:rsidRPr="005B6405">
        <w:t xml:space="preserve">These guidelines were developed to assist all </w:t>
      </w:r>
      <w:r w:rsidR="00404B1F" w:rsidRPr="005B6405">
        <w:t>Standalone p</w:t>
      </w:r>
      <w:r w:rsidR="00D1143F" w:rsidRPr="005B6405">
        <w:t xml:space="preserve">harmacies involved in the </w:t>
      </w:r>
      <w:r w:rsidR="00697729" w:rsidRPr="005B6405">
        <w:t xml:space="preserve">sale, </w:t>
      </w:r>
      <w:r w:rsidR="00785DC6" w:rsidRPr="005B6405">
        <w:t>dispens</w:t>
      </w:r>
      <w:r w:rsidR="00D90E0C" w:rsidRPr="005B6405">
        <w:t>in</w:t>
      </w:r>
      <w:r w:rsidR="002A4734" w:rsidRPr="005B6405">
        <w:t>g</w:t>
      </w:r>
      <w:r w:rsidR="00785DC6" w:rsidRPr="005B6405">
        <w:t xml:space="preserve"> or </w:t>
      </w:r>
      <w:r w:rsidR="00A7517B" w:rsidRPr="005B6405">
        <w:t xml:space="preserve">storage of </w:t>
      </w:r>
      <w:r w:rsidR="000863DB" w:rsidRPr="005B6405">
        <w:t>medical pro</w:t>
      </w:r>
      <w:r w:rsidR="009D67A7" w:rsidRPr="005B6405">
        <w:t>ducts.</w:t>
      </w:r>
    </w:p>
    <w:p w14:paraId="3B6A126E" w14:textId="4DD86A83" w:rsidR="00C9182F" w:rsidRPr="005B6405" w:rsidRDefault="00C9182F" w:rsidP="004A7F47">
      <w:pPr>
        <w:pStyle w:val="ListParagraph"/>
        <w:numPr>
          <w:ilvl w:val="0"/>
          <w:numId w:val="8"/>
        </w:numPr>
        <w:ind w:hanging="792"/>
      </w:pPr>
      <w:r w:rsidRPr="005B6405">
        <w:t>The guidelines are applicable to all</w:t>
      </w:r>
      <w:r w:rsidR="009D67A7" w:rsidRPr="005B6405">
        <w:t xml:space="preserve"> </w:t>
      </w:r>
      <w:r w:rsidR="007B1ED1" w:rsidRPr="005B6405">
        <w:t>p</w:t>
      </w:r>
      <w:r w:rsidR="009D67A7" w:rsidRPr="005B6405">
        <w:t>harmacies</w:t>
      </w:r>
      <w:r w:rsidR="00056891" w:rsidRPr="005B6405">
        <w:t xml:space="preserve"> wishing</w:t>
      </w:r>
      <w:r w:rsidRPr="005B6405">
        <w:t xml:space="preserve"> to operate as </w:t>
      </w:r>
      <w:r w:rsidR="00233D03" w:rsidRPr="005B6405">
        <w:t>Sta</w:t>
      </w:r>
      <w:r w:rsidR="006F30A0" w:rsidRPr="005B6405">
        <w:t>ndalone</w:t>
      </w:r>
      <w:r w:rsidR="004D5190" w:rsidRPr="005B6405">
        <w:t xml:space="preserve"> Pharmacies</w:t>
      </w:r>
      <w:r w:rsidRPr="005B6405">
        <w:t>, both government owned and privately owned facilities. These guidelines are meant to:</w:t>
      </w:r>
    </w:p>
    <w:p w14:paraId="6F51D921" w14:textId="7F080931" w:rsidR="00C9182F" w:rsidRPr="005B6405" w:rsidRDefault="00C9182F" w:rsidP="004A7F47">
      <w:pPr>
        <w:pStyle w:val="ListParagraph"/>
        <w:numPr>
          <w:ilvl w:val="0"/>
          <w:numId w:val="9"/>
        </w:numPr>
      </w:pPr>
      <w:r w:rsidRPr="005B6405">
        <w:t>Outline the responsibilities of the stakeholders involved in the sale of medical products</w:t>
      </w:r>
      <w:r w:rsidR="008A75CD" w:rsidRPr="005B6405">
        <w:t>.</w:t>
      </w:r>
    </w:p>
    <w:p w14:paraId="3203B8A8" w14:textId="20751877" w:rsidR="00C9182F" w:rsidRPr="005B6405" w:rsidRDefault="00C9182F" w:rsidP="004A7F47">
      <w:pPr>
        <w:pStyle w:val="ListParagraph"/>
        <w:numPr>
          <w:ilvl w:val="0"/>
          <w:numId w:val="9"/>
        </w:numPr>
      </w:pPr>
      <w:r w:rsidRPr="005B6405">
        <w:t xml:space="preserve">Outline the requirements for successful application and licensing of a </w:t>
      </w:r>
      <w:r w:rsidR="008A75CD" w:rsidRPr="005B6405">
        <w:t>standalone</w:t>
      </w:r>
      <w:r w:rsidR="002D29D8" w:rsidRPr="005B6405">
        <w:t xml:space="preserve"> pharmacy</w:t>
      </w:r>
      <w:r w:rsidR="003675B2" w:rsidRPr="005B6405">
        <w:t>.</w:t>
      </w:r>
    </w:p>
    <w:p w14:paraId="6A34EF85" w14:textId="6D9F04AA" w:rsidR="00EE6201" w:rsidRPr="005B6405" w:rsidRDefault="00C9182F" w:rsidP="004A7F47">
      <w:pPr>
        <w:pStyle w:val="ListParagraph"/>
        <w:numPr>
          <w:ilvl w:val="0"/>
          <w:numId w:val="9"/>
        </w:numPr>
      </w:pPr>
      <w:r w:rsidRPr="005B6405">
        <w:t xml:space="preserve">Outline the documentation necessary to maintain the operation of a </w:t>
      </w:r>
      <w:r w:rsidR="006C3E8E" w:rsidRPr="005B6405">
        <w:t>standalone pharmacy.</w:t>
      </w:r>
      <w:bookmarkEnd w:id="23"/>
    </w:p>
    <w:p w14:paraId="13DE3EC1" w14:textId="0882ED4A" w:rsidR="006F2FD4" w:rsidRPr="005B6405" w:rsidRDefault="00692B9F" w:rsidP="001A49B0">
      <w:pPr>
        <w:pStyle w:val="Heading1"/>
        <w:spacing w:before="0" w:after="120" w:line="240" w:lineRule="auto"/>
        <w:jc w:val="both"/>
        <w:rPr>
          <w:rFonts w:ascii="Gill Sans MT" w:hAnsi="Gill Sans MT"/>
          <w:b/>
          <w:bCs/>
          <w:color w:val="auto"/>
          <w:sz w:val="24"/>
          <w:szCs w:val="24"/>
        </w:rPr>
      </w:pPr>
      <w:bookmarkStart w:id="24" w:name="_Toc41489319"/>
      <w:bookmarkStart w:id="25" w:name="_Toc227072328"/>
      <w:r w:rsidRPr="005B6405">
        <w:rPr>
          <w:rFonts w:ascii="Gill Sans MT" w:hAnsi="Gill Sans MT"/>
          <w:b/>
          <w:bCs/>
          <w:color w:val="auto"/>
          <w:sz w:val="24"/>
          <w:szCs w:val="24"/>
        </w:rPr>
        <w:lastRenderedPageBreak/>
        <w:t xml:space="preserve">5. </w:t>
      </w:r>
      <w:r w:rsidR="001A49B0" w:rsidRPr="005B6405">
        <w:rPr>
          <w:rFonts w:ascii="Gill Sans MT" w:hAnsi="Gill Sans MT"/>
          <w:b/>
          <w:bCs/>
          <w:color w:val="auto"/>
          <w:sz w:val="24"/>
          <w:szCs w:val="24"/>
        </w:rPr>
        <w:tab/>
      </w:r>
      <w:r w:rsidR="006F2FD4" w:rsidRPr="005B6405">
        <w:rPr>
          <w:rFonts w:ascii="Gill Sans MT" w:hAnsi="Gill Sans MT"/>
          <w:b/>
          <w:bCs/>
          <w:color w:val="auto"/>
          <w:sz w:val="24"/>
          <w:szCs w:val="24"/>
        </w:rPr>
        <w:t>Guidelines for Operating a</w:t>
      </w:r>
      <w:r w:rsidR="00F42435" w:rsidRPr="005B6405">
        <w:rPr>
          <w:rFonts w:ascii="Gill Sans MT" w:hAnsi="Gill Sans MT"/>
          <w:b/>
          <w:bCs/>
          <w:color w:val="auto"/>
          <w:sz w:val="24"/>
          <w:szCs w:val="24"/>
        </w:rPr>
        <w:t xml:space="preserve"> Standalone </w:t>
      </w:r>
      <w:r w:rsidR="006F2FD4" w:rsidRPr="005B6405">
        <w:rPr>
          <w:rFonts w:ascii="Gill Sans MT" w:hAnsi="Gill Sans MT"/>
          <w:b/>
          <w:bCs/>
          <w:color w:val="auto"/>
          <w:sz w:val="24"/>
          <w:szCs w:val="24"/>
        </w:rPr>
        <w:t>Pharmacy</w:t>
      </w:r>
      <w:bookmarkEnd w:id="24"/>
      <w:bookmarkEnd w:id="25"/>
    </w:p>
    <w:p w14:paraId="385A46E0" w14:textId="3344135D" w:rsidR="00584774" w:rsidRPr="005B6405" w:rsidRDefault="008736E6" w:rsidP="004A7F47">
      <w:pPr>
        <w:pStyle w:val="Heading2"/>
        <w:numPr>
          <w:ilvl w:val="1"/>
          <w:numId w:val="14"/>
        </w:numPr>
        <w:spacing w:before="0" w:after="120" w:line="240" w:lineRule="auto"/>
        <w:jc w:val="both"/>
        <w:rPr>
          <w:rFonts w:eastAsiaTheme="minorHAnsi"/>
        </w:rPr>
      </w:pPr>
      <w:bookmarkStart w:id="26" w:name="_Toc41489320"/>
      <w:bookmarkStart w:id="27" w:name="_Toc227072329"/>
      <w:r w:rsidRPr="005B6405">
        <w:rPr>
          <w:rFonts w:ascii="Gill Sans MT" w:hAnsi="Gill Sans MT"/>
          <w:b/>
          <w:bCs/>
          <w:color w:val="auto"/>
          <w:sz w:val="24"/>
          <w:szCs w:val="24"/>
        </w:rPr>
        <w:t>Submission requirements</w:t>
      </w:r>
      <w:bookmarkEnd w:id="26"/>
      <w:bookmarkEnd w:id="27"/>
    </w:p>
    <w:p w14:paraId="1424BDAA" w14:textId="55A79C9E" w:rsidR="00803DC6" w:rsidRPr="0028248B" w:rsidRDefault="00803DC6" w:rsidP="00E1340A">
      <w:pPr>
        <w:keepNext/>
        <w:keepLines/>
        <w:spacing w:after="0"/>
        <w:jc w:val="both"/>
        <w:outlineLvl w:val="1"/>
        <w:rPr>
          <w:rFonts w:eastAsiaTheme="majorEastAsia" w:cstheme="majorBidi"/>
          <w:b/>
          <w:bCs/>
          <w:sz w:val="22"/>
          <w:szCs w:val="22"/>
        </w:rPr>
      </w:pPr>
      <w:bookmarkStart w:id="28" w:name="_Toc226717481"/>
      <w:bookmarkStart w:id="29" w:name="_Toc227072330"/>
      <w:r w:rsidRPr="0028248B">
        <w:rPr>
          <w:rFonts w:eastAsiaTheme="majorEastAsia" w:cstheme="majorBidi"/>
          <w:b/>
          <w:bCs/>
          <w:sz w:val="22"/>
          <w:szCs w:val="22"/>
        </w:rPr>
        <w:t>Application requirements and procedure</w:t>
      </w:r>
      <w:bookmarkEnd w:id="28"/>
      <w:bookmarkEnd w:id="29"/>
    </w:p>
    <w:p w14:paraId="608CCDFD" w14:textId="4A5E395C" w:rsidR="00803DC6" w:rsidRPr="005B6405" w:rsidRDefault="00803DC6" w:rsidP="004A7F47">
      <w:pPr>
        <w:numPr>
          <w:ilvl w:val="2"/>
          <w:numId w:val="10"/>
        </w:numPr>
        <w:spacing w:after="0" w:line="240" w:lineRule="auto"/>
        <w:ind w:left="1418" w:hanging="709"/>
        <w:jc w:val="both"/>
        <w:rPr>
          <w:rFonts w:eastAsiaTheme="minorEastAsia" w:cs="Calibri"/>
          <w:sz w:val="22"/>
          <w:szCs w:val="22"/>
        </w:rPr>
      </w:pPr>
      <w:r w:rsidRPr="005B6405">
        <w:rPr>
          <w:rFonts w:eastAsiaTheme="minorEastAsia" w:cs="Calibri"/>
          <w:sz w:val="22"/>
          <w:szCs w:val="22"/>
        </w:rPr>
        <w:t xml:space="preserve">Applications for prospective pharmaceutical operations licence and license renewal shall be submitted by a </w:t>
      </w:r>
      <w:r w:rsidR="00A53B0F" w:rsidRPr="005B6405">
        <w:rPr>
          <w:rFonts w:eastAsiaTheme="minorEastAsia" w:cs="Calibri"/>
          <w:sz w:val="22"/>
          <w:szCs w:val="22"/>
        </w:rPr>
        <w:t>r</w:t>
      </w:r>
      <w:r w:rsidRPr="005B6405">
        <w:rPr>
          <w:rFonts w:eastAsiaTheme="minorEastAsia" w:cs="Calibri"/>
          <w:sz w:val="22"/>
          <w:szCs w:val="22"/>
        </w:rPr>
        <w:t xml:space="preserve">egistered </w:t>
      </w:r>
      <w:r w:rsidR="003C78F2" w:rsidRPr="005B6405">
        <w:rPr>
          <w:rFonts w:eastAsiaTheme="minorEastAsia" w:cs="Calibri"/>
          <w:sz w:val="22"/>
          <w:szCs w:val="22"/>
        </w:rPr>
        <w:t>Pharmacist and</w:t>
      </w:r>
      <w:r w:rsidRPr="005B6405">
        <w:rPr>
          <w:rFonts w:eastAsiaTheme="minorEastAsia" w:cs="Calibri"/>
          <w:sz w:val="22"/>
          <w:szCs w:val="22"/>
        </w:rPr>
        <w:t xml:space="preserve"> be addressed to the Chief Executive Officer of BoMRA.</w:t>
      </w:r>
    </w:p>
    <w:p w14:paraId="14C75BB3" w14:textId="77777777" w:rsidR="00803DC6" w:rsidRPr="005B6405" w:rsidRDefault="00803DC6" w:rsidP="004A7F47">
      <w:pPr>
        <w:numPr>
          <w:ilvl w:val="2"/>
          <w:numId w:val="10"/>
        </w:numPr>
        <w:spacing w:after="0" w:line="240" w:lineRule="auto"/>
        <w:ind w:left="1418" w:hanging="709"/>
        <w:jc w:val="both"/>
        <w:rPr>
          <w:rFonts w:eastAsiaTheme="minorEastAsia" w:cs="Calibri"/>
          <w:sz w:val="22"/>
          <w:szCs w:val="22"/>
        </w:rPr>
      </w:pPr>
      <w:r w:rsidRPr="005B6405">
        <w:rPr>
          <w:rFonts w:eastAsiaTheme="minorEastAsia" w:cs="Calibri"/>
          <w:sz w:val="22"/>
          <w:szCs w:val="22"/>
        </w:rPr>
        <w:t>For new facilities, a detailed sketch plan of the premises must be submitted to the Authority for approval prior to sending an application.</w:t>
      </w:r>
    </w:p>
    <w:p w14:paraId="3F158E03" w14:textId="76CAAB65" w:rsidR="00803DC6" w:rsidRPr="005B6405" w:rsidRDefault="00803DC6" w:rsidP="004A7F47">
      <w:pPr>
        <w:numPr>
          <w:ilvl w:val="2"/>
          <w:numId w:val="10"/>
        </w:numPr>
        <w:spacing w:after="0" w:line="240" w:lineRule="auto"/>
        <w:ind w:left="1418" w:hanging="709"/>
        <w:jc w:val="both"/>
        <w:rPr>
          <w:rFonts w:eastAsiaTheme="minorEastAsia" w:cs="Calibri"/>
          <w:sz w:val="22"/>
          <w:szCs w:val="22"/>
        </w:rPr>
      </w:pPr>
      <w:r w:rsidRPr="005B6405">
        <w:rPr>
          <w:rFonts w:eastAsiaTheme="minorEastAsia" w:cs="Calibri"/>
          <w:sz w:val="22"/>
          <w:szCs w:val="22"/>
        </w:rPr>
        <w:t xml:space="preserve">The detailed sketch plan must be submitted to </w:t>
      </w:r>
      <w:hyperlink r:id="rId15" w:tgtFrame="_blank" w:history="1">
        <w:r w:rsidRPr="005B6405">
          <w:rPr>
            <w:rFonts w:eastAsiaTheme="minorEastAsia" w:cs="Calibri"/>
            <w:i/>
            <w:iCs/>
            <w:color w:val="0563C1"/>
            <w:sz w:val="22"/>
            <w:szCs w:val="22"/>
            <w:u w:val="single"/>
          </w:rPr>
          <w:t>inspections@bomra.co.bw</w:t>
        </w:r>
      </w:hyperlink>
      <w:r w:rsidRPr="005B6405">
        <w:rPr>
          <w:rFonts w:eastAsiaTheme="minorEastAsia" w:cs="Calibri"/>
          <w:sz w:val="22"/>
          <w:szCs w:val="22"/>
        </w:rPr>
        <w:t xml:space="preserve"> </w:t>
      </w:r>
    </w:p>
    <w:p w14:paraId="38F5D478" w14:textId="581E2B1D" w:rsidR="00803DC6" w:rsidRPr="005B6405" w:rsidRDefault="00803DC6" w:rsidP="004A7F47">
      <w:pPr>
        <w:numPr>
          <w:ilvl w:val="2"/>
          <w:numId w:val="10"/>
        </w:numPr>
        <w:spacing w:after="0" w:line="240" w:lineRule="auto"/>
        <w:ind w:left="1418" w:hanging="709"/>
        <w:jc w:val="both"/>
        <w:rPr>
          <w:rFonts w:cs="Calibri"/>
          <w:sz w:val="22"/>
          <w:szCs w:val="22"/>
        </w:rPr>
      </w:pPr>
      <w:r w:rsidRPr="005B6405">
        <w:rPr>
          <w:rFonts w:cs="Calibri"/>
          <w:sz w:val="22"/>
          <w:szCs w:val="22"/>
        </w:rPr>
        <w:t xml:space="preserve">The applicant is advised to submit the sketch plan of the premises before making structural changes to the </w:t>
      </w:r>
      <w:r w:rsidR="00134EFA" w:rsidRPr="005B6405">
        <w:rPr>
          <w:rFonts w:cs="Calibri"/>
          <w:sz w:val="22"/>
          <w:szCs w:val="22"/>
        </w:rPr>
        <w:t>pharmacy</w:t>
      </w:r>
      <w:r w:rsidRPr="005B6405">
        <w:rPr>
          <w:rFonts w:cs="Calibri"/>
          <w:sz w:val="22"/>
          <w:szCs w:val="22"/>
        </w:rPr>
        <w:t>.</w:t>
      </w:r>
    </w:p>
    <w:p w14:paraId="49E4CF18" w14:textId="77777777" w:rsidR="00803DC6" w:rsidRPr="0028248B" w:rsidRDefault="00803DC6" w:rsidP="004A7F47">
      <w:pPr>
        <w:numPr>
          <w:ilvl w:val="2"/>
          <w:numId w:val="10"/>
        </w:numPr>
        <w:spacing w:after="0" w:line="240" w:lineRule="auto"/>
        <w:ind w:left="1418" w:hanging="709"/>
        <w:jc w:val="both"/>
        <w:rPr>
          <w:rFonts w:cs="Calibri"/>
          <w:sz w:val="22"/>
          <w:szCs w:val="22"/>
        </w:rPr>
      </w:pPr>
      <w:r w:rsidRPr="005B6405">
        <w:rPr>
          <w:rFonts w:cs="Calibri"/>
          <w:sz w:val="22"/>
          <w:szCs w:val="22"/>
        </w:rPr>
        <w:t xml:space="preserve">The sketch plan must clearly indicate the: </w:t>
      </w:r>
    </w:p>
    <w:p w14:paraId="69E99AD7" w14:textId="1868E742"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 xml:space="preserve">layout of </w:t>
      </w:r>
      <w:r w:rsidR="00134EFA" w:rsidRPr="005B6405">
        <w:rPr>
          <w:rFonts w:cs="Calibri"/>
          <w:sz w:val="22"/>
          <w:szCs w:val="22"/>
        </w:rPr>
        <w:t>pharmacy</w:t>
      </w:r>
      <w:r w:rsidRPr="005B6405">
        <w:rPr>
          <w:rFonts w:cs="Calibri"/>
          <w:sz w:val="22"/>
          <w:szCs w:val="22"/>
        </w:rPr>
        <w:t xml:space="preserve"> and its dimensions, </w:t>
      </w:r>
    </w:p>
    <w:p w14:paraId="34DDF6CA" w14:textId="77777777"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 xml:space="preserve">medical products storage areas, </w:t>
      </w:r>
    </w:p>
    <w:p w14:paraId="42516266" w14:textId="77777777"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 xml:space="preserve">shelving areas, </w:t>
      </w:r>
    </w:p>
    <w:p w14:paraId="4738B3AD" w14:textId="77777777"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 xml:space="preserve">locations of storage areas for expired, quarantined, recalled and returned products, </w:t>
      </w:r>
    </w:p>
    <w:p w14:paraId="6551DEC5" w14:textId="77777777"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location of temperature controlling units, </w:t>
      </w:r>
    </w:p>
    <w:p w14:paraId="10DC0D20" w14:textId="77777777"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location of the refrigerator/cold rooms, </w:t>
      </w:r>
    </w:p>
    <w:p w14:paraId="717F2E44" w14:textId="655E5F54"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 xml:space="preserve">location of Controlled Substances Cabinet, </w:t>
      </w:r>
    </w:p>
    <w:p w14:paraId="371EDB84" w14:textId="77777777" w:rsidR="00803DC6" w:rsidRPr="0028248B" w:rsidRDefault="00803DC6" w:rsidP="004A7F47">
      <w:pPr>
        <w:numPr>
          <w:ilvl w:val="0"/>
          <w:numId w:val="11"/>
        </w:numPr>
        <w:spacing w:after="0" w:line="240" w:lineRule="auto"/>
        <w:contextualSpacing/>
        <w:rPr>
          <w:rFonts w:cs="Calibri"/>
          <w:sz w:val="22"/>
          <w:szCs w:val="22"/>
        </w:rPr>
      </w:pPr>
      <w:r w:rsidRPr="005B6405">
        <w:rPr>
          <w:rFonts w:cs="Calibri"/>
          <w:sz w:val="22"/>
          <w:szCs w:val="22"/>
        </w:rPr>
        <w:t xml:space="preserve">location of toilets and wash basins. </w:t>
      </w:r>
    </w:p>
    <w:p w14:paraId="35D837B0" w14:textId="77777777" w:rsidR="00803DC6" w:rsidRPr="0028248B" w:rsidRDefault="00803DC6" w:rsidP="004A7F47">
      <w:pPr>
        <w:numPr>
          <w:ilvl w:val="0"/>
          <w:numId w:val="11"/>
        </w:numPr>
        <w:spacing w:after="0" w:line="240" w:lineRule="auto"/>
        <w:contextualSpacing/>
        <w:jc w:val="both"/>
        <w:rPr>
          <w:rFonts w:cs="Calibri"/>
          <w:sz w:val="22"/>
          <w:szCs w:val="22"/>
        </w:rPr>
      </w:pPr>
      <w:r w:rsidRPr="005B6405">
        <w:rPr>
          <w:rFonts w:cs="Calibri"/>
          <w:sz w:val="22"/>
          <w:szCs w:val="22"/>
        </w:rPr>
        <w:t>and any other requirement.</w:t>
      </w:r>
    </w:p>
    <w:p w14:paraId="42DD2185" w14:textId="77777777" w:rsidR="00803DC6" w:rsidRPr="0028248B" w:rsidRDefault="00803DC6" w:rsidP="00803DC6">
      <w:pPr>
        <w:spacing w:after="0" w:line="240" w:lineRule="auto"/>
        <w:ind w:left="1778"/>
        <w:contextualSpacing/>
        <w:rPr>
          <w:rFonts w:eastAsia="Calibri" w:cs="Arial"/>
          <w:sz w:val="22"/>
          <w:szCs w:val="22"/>
        </w:rPr>
      </w:pPr>
    </w:p>
    <w:p w14:paraId="385BC934" w14:textId="707C11EC" w:rsidR="00803DC6" w:rsidRPr="0028248B" w:rsidRDefault="00803DC6" w:rsidP="004A7F47">
      <w:pPr>
        <w:numPr>
          <w:ilvl w:val="2"/>
          <w:numId w:val="10"/>
        </w:numPr>
        <w:spacing w:after="0" w:line="240" w:lineRule="auto"/>
        <w:ind w:left="1418" w:hanging="709"/>
        <w:jc w:val="both"/>
        <w:rPr>
          <w:rFonts w:cs="Calibri"/>
          <w:sz w:val="22"/>
          <w:szCs w:val="22"/>
        </w:rPr>
      </w:pPr>
      <w:r w:rsidRPr="005B6405">
        <w:rPr>
          <w:rFonts w:cs="Calibri"/>
          <w:sz w:val="22"/>
          <w:szCs w:val="22"/>
        </w:rPr>
        <w:t xml:space="preserve">Post approval of the sketch plan and completion of the </w:t>
      </w:r>
      <w:r w:rsidR="00341152" w:rsidRPr="005B6405">
        <w:rPr>
          <w:rFonts w:cs="Calibri"/>
          <w:sz w:val="22"/>
          <w:szCs w:val="22"/>
        </w:rPr>
        <w:t>pharmacy</w:t>
      </w:r>
      <w:r w:rsidRPr="005B6405">
        <w:rPr>
          <w:rFonts w:cs="Calibri"/>
          <w:sz w:val="22"/>
          <w:szCs w:val="22"/>
        </w:rPr>
        <w:t xml:space="preserve"> construction as per the approved sketch plan, the applicant shall submit the application for pre-licensing through the BRIMS Portal </w:t>
      </w:r>
      <w:hyperlink r:id="rId16" w:tgtFrame="_blank" w:history="1">
        <w:r w:rsidRPr="005B6405">
          <w:rPr>
            <w:rFonts w:cs="Calibri"/>
            <w:color w:val="0563C1"/>
            <w:sz w:val="22"/>
            <w:szCs w:val="22"/>
            <w:u w:val="single"/>
          </w:rPr>
          <w:t>https://brims.bomra.co.bw/</w:t>
        </w:r>
      </w:hyperlink>
      <w:r w:rsidRPr="005B6405">
        <w:rPr>
          <w:rFonts w:cs="Calibri"/>
          <w:sz w:val="22"/>
          <w:szCs w:val="22"/>
        </w:rPr>
        <w:t xml:space="preserve"> </w:t>
      </w:r>
    </w:p>
    <w:p w14:paraId="34429A38" w14:textId="77777777" w:rsidR="00803DC6" w:rsidRPr="0028248B" w:rsidRDefault="00803DC6" w:rsidP="004A7F47">
      <w:pPr>
        <w:numPr>
          <w:ilvl w:val="2"/>
          <w:numId w:val="10"/>
        </w:numPr>
        <w:spacing w:after="0" w:line="240" w:lineRule="auto"/>
        <w:ind w:left="1418" w:hanging="709"/>
        <w:jc w:val="both"/>
        <w:rPr>
          <w:rFonts w:cs="Calibri"/>
          <w:sz w:val="22"/>
          <w:szCs w:val="22"/>
        </w:rPr>
      </w:pPr>
      <w:r w:rsidRPr="005B6405">
        <w:rPr>
          <w:rFonts w:cs="Calibri"/>
          <w:sz w:val="22"/>
          <w:szCs w:val="22"/>
        </w:rPr>
        <w:t xml:space="preserve">An application for renewal shall be submitted through the BRIMS Portal </w:t>
      </w:r>
      <w:hyperlink r:id="rId17" w:tgtFrame="_blank" w:history="1">
        <w:r w:rsidRPr="005B6405">
          <w:rPr>
            <w:rFonts w:cs="Calibri"/>
            <w:color w:val="0563C1"/>
            <w:sz w:val="22"/>
            <w:szCs w:val="22"/>
            <w:u w:val="single"/>
          </w:rPr>
          <w:t>https://brims.bomra.co.bw/</w:t>
        </w:r>
      </w:hyperlink>
      <w:r w:rsidRPr="005B6405">
        <w:rPr>
          <w:rFonts w:cs="Calibri"/>
          <w:sz w:val="22"/>
          <w:szCs w:val="22"/>
        </w:rPr>
        <w:t xml:space="preserve"> </w:t>
      </w:r>
      <w:r w:rsidRPr="005B6405">
        <w:rPr>
          <w:rFonts w:cs="Calibri"/>
          <w:b/>
          <w:bCs/>
          <w:sz w:val="22"/>
          <w:szCs w:val="22"/>
        </w:rPr>
        <w:t>three (3) months</w:t>
      </w:r>
      <w:r w:rsidRPr="005B6405">
        <w:rPr>
          <w:rFonts w:cs="Calibri"/>
          <w:sz w:val="22"/>
          <w:szCs w:val="22"/>
        </w:rPr>
        <w:t xml:space="preserve"> before the expiration of the current BoMRA License.</w:t>
      </w:r>
    </w:p>
    <w:p w14:paraId="7A23375F" w14:textId="62C886F7" w:rsidR="00803DC6" w:rsidRPr="0028248B" w:rsidRDefault="00803DC6" w:rsidP="004A7F47">
      <w:pPr>
        <w:numPr>
          <w:ilvl w:val="2"/>
          <w:numId w:val="10"/>
        </w:numPr>
        <w:spacing w:after="0" w:line="240" w:lineRule="auto"/>
        <w:ind w:left="1418" w:hanging="709"/>
        <w:jc w:val="both"/>
        <w:rPr>
          <w:rFonts w:cs="Calibri"/>
          <w:sz w:val="22"/>
          <w:szCs w:val="22"/>
        </w:rPr>
      </w:pPr>
      <w:r w:rsidRPr="005B6405">
        <w:rPr>
          <w:rFonts w:cs="Calibri"/>
          <w:sz w:val="22"/>
          <w:szCs w:val="22"/>
        </w:rPr>
        <w:t xml:space="preserve">Applications shall be submitted with the prescribed fees for each scope of operation i.e. Human Medicines or </w:t>
      </w:r>
      <w:r w:rsidR="00732584" w:rsidRPr="005B6405">
        <w:rPr>
          <w:rFonts w:cs="Calibri"/>
          <w:sz w:val="22"/>
          <w:szCs w:val="22"/>
        </w:rPr>
        <w:t>Medical Devices</w:t>
      </w:r>
    </w:p>
    <w:p w14:paraId="645759DE" w14:textId="77777777" w:rsidR="00BE03F7" w:rsidRPr="0028248B" w:rsidRDefault="00BE03F7" w:rsidP="00CA5F2C">
      <w:pPr>
        <w:spacing w:after="0" w:line="240" w:lineRule="auto"/>
        <w:ind w:left="1418"/>
        <w:jc w:val="both"/>
        <w:rPr>
          <w:rFonts w:cs="Calibri"/>
          <w:sz w:val="22"/>
          <w:szCs w:val="22"/>
        </w:rPr>
      </w:pPr>
    </w:p>
    <w:p w14:paraId="34104055" w14:textId="77777777" w:rsidR="00803DC6" w:rsidRPr="0028248B" w:rsidRDefault="00803DC6" w:rsidP="004A7F47">
      <w:pPr>
        <w:numPr>
          <w:ilvl w:val="2"/>
          <w:numId w:val="10"/>
        </w:numPr>
        <w:spacing w:after="0" w:line="240" w:lineRule="auto"/>
        <w:ind w:left="1418" w:hanging="709"/>
        <w:jc w:val="both"/>
        <w:rPr>
          <w:rFonts w:cs="Calibri"/>
        </w:rPr>
      </w:pPr>
      <w:r w:rsidRPr="005B6405">
        <w:rPr>
          <w:rFonts w:cs="Calibri"/>
          <w:b/>
          <w:bCs/>
        </w:rPr>
        <w:t xml:space="preserve">Here is a step-by-step guide to </w:t>
      </w:r>
      <w:proofErr w:type="gramStart"/>
      <w:r w:rsidRPr="005B6405">
        <w:rPr>
          <w:rFonts w:cs="Calibri"/>
          <w:b/>
          <w:bCs/>
        </w:rPr>
        <w:t>submit an application</w:t>
      </w:r>
      <w:proofErr w:type="gramEnd"/>
      <w:r w:rsidRPr="005B6405">
        <w:rPr>
          <w:rFonts w:cs="Calibri"/>
          <w:b/>
          <w:bCs/>
        </w:rPr>
        <w:t xml:space="preserve"> on BRIMS:</w:t>
      </w:r>
      <w:r w:rsidRPr="0028248B">
        <w:rPr>
          <w:rFonts w:cs="Calibri"/>
        </w:rPr>
        <w:t> </w:t>
      </w:r>
    </w:p>
    <w:p w14:paraId="6E80CA6D" w14:textId="6E18FC6C" w:rsidR="00803DC6" w:rsidRPr="0028248B" w:rsidRDefault="00803DC6" w:rsidP="00803DC6">
      <w:pPr>
        <w:spacing w:after="0"/>
        <w:ind w:left="1418"/>
        <w:jc w:val="both"/>
        <w:rPr>
          <w:rFonts w:cs="Calibri"/>
          <w:sz w:val="22"/>
          <w:szCs w:val="22"/>
        </w:rPr>
      </w:pPr>
      <w:r w:rsidRPr="005B6405">
        <w:rPr>
          <w:rFonts w:cs="Calibri"/>
          <w:sz w:val="22"/>
          <w:szCs w:val="22"/>
        </w:rPr>
        <w:t>a. On the Home Page </w:t>
      </w:r>
      <w:r w:rsidR="00C675DC" w:rsidRPr="005B6405">
        <w:rPr>
          <w:rFonts w:cs="Calibri"/>
          <w:sz w:val="22"/>
          <w:szCs w:val="22"/>
        </w:rPr>
        <w:t>clicks</w:t>
      </w:r>
      <w:r w:rsidRPr="005B6405">
        <w:rPr>
          <w:rFonts w:cs="Calibri"/>
          <w:sz w:val="22"/>
          <w:szCs w:val="22"/>
        </w:rPr>
        <w:t> “Facility Inspections &amp; Licensing”</w:t>
      </w:r>
      <w:r w:rsidRPr="0028248B">
        <w:rPr>
          <w:rFonts w:cs="Calibri"/>
          <w:sz w:val="22"/>
          <w:szCs w:val="22"/>
        </w:rPr>
        <w:t> </w:t>
      </w:r>
    </w:p>
    <w:p w14:paraId="5DE2B7B9" w14:textId="77777777" w:rsidR="00803DC6" w:rsidRPr="0028248B" w:rsidRDefault="00803DC6" w:rsidP="00803DC6">
      <w:pPr>
        <w:spacing w:after="0"/>
        <w:ind w:left="1418"/>
        <w:jc w:val="both"/>
        <w:rPr>
          <w:rFonts w:cs="Calibri"/>
          <w:sz w:val="22"/>
          <w:szCs w:val="22"/>
        </w:rPr>
      </w:pPr>
      <w:r w:rsidRPr="005B6405">
        <w:rPr>
          <w:rFonts w:cs="Calibri"/>
          <w:sz w:val="22"/>
          <w:szCs w:val="22"/>
        </w:rPr>
        <w:t>b. On the Dashboard, click “Inspections &amp; Licensing” on the left panel</w:t>
      </w:r>
      <w:r w:rsidRPr="0028248B">
        <w:rPr>
          <w:rFonts w:cs="Calibri"/>
          <w:sz w:val="22"/>
          <w:szCs w:val="22"/>
        </w:rPr>
        <w:t> </w:t>
      </w:r>
    </w:p>
    <w:p w14:paraId="5DAF256C" w14:textId="77777777" w:rsidR="00803DC6" w:rsidRPr="0028248B" w:rsidRDefault="00803DC6" w:rsidP="00803DC6">
      <w:pPr>
        <w:spacing w:after="0"/>
        <w:ind w:left="1418"/>
        <w:jc w:val="both"/>
        <w:rPr>
          <w:rFonts w:cs="Calibri"/>
          <w:sz w:val="22"/>
          <w:szCs w:val="22"/>
        </w:rPr>
      </w:pPr>
      <w:r w:rsidRPr="005B6405">
        <w:rPr>
          <w:rFonts w:cs="Calibri"/>
          <w:sz w:val="22"/>
          <w:szCs w:val="22"/>
        </w:rPr>
        <w:t>c. Click the “Premises Certificates and Licenses” drop down</w:t>
      </w:r>
      <w:r w:rsidRPr="0028248B">
        <w:rPr>
          <w:rFonts w:cs="Calibri"/>
          <w:sz w:val="22"/>
          <w:szCs w:val="22"/>
        </w:rPr>
        <w:t> </w:t>
      </w:r>
    </w:p>
    <w:p w14:paraId="233B8BAF" w14:textId="77777777" w:rsidR="00803DC6" w:rsidRPr="0028248B" w:rsidRDefault="00803DC6" w:rsidP="00803DC6">
      <w:pPr>
        <w:spacing w:after="0"/>
        <w:ind w:left="1418"/>
        <w:jc w:val="both"/>
        <w:rPr>
          <w:rFonts w:cs="Calibri"/>
          <w:sz w:val="22"/>
          <w:szCs w:val="22"/>
        </w:rPr>
      </w:pPr>
      <w:r w:rsidRPr="005B6405">
        <w:rPr>
          <w:rFonts w:cs="Calibri"/>
          <w:sz w:val="22"/>
          <w:szCs w:val="22"/>
        </w:rPr>
        <w:t>d. Click the blue shaded “Facility renewal/ pre-licensing”</w:t>
      </w:r>
      <w:r w:rsidRPr="0028248B">
        <w:rPr>
          <w:rFonts w:cs="Calibri"/>
          <w:sz w:val="22"/>
          <w:szCs w:val="22"/>
        </w:rPr>
        <w:t> </w:t>
      </w:r>
    </w:p>
    <w:p w14:paraId="3E6A7E2F" w14:textId="1739D0FB" w:rsidR="00803DC6" w:rsidRPr="005B6405" w:rsidRDefault="00803DC6" w:rsidP="00803DC6">
      <w:pPr>
        <w:spacing w:after="0"/>
        <w:ind w:left="1418"/>
        <w:jc w:val="both"/>
        <w:rPr>
          <w:rFonts w:cs="Calibri"/>
          <w:sz w:val="22"/>
          <w:szCs w:val="22"/>
        </w:rPr>
      </w:pPr>
      <w:r w:rsidRPr="005B6405">
        <w:rPr>
          <w:rFonts w:cs="Calibri"/>
          <w:sz w:val="22"/>
          <w:szCs w:val="22"/>
        </w:rPr>
        <w:t>e. Fill up the required details and upload details</w:t>
      </w:r>
    </w:p>
    <w:p w14:paraId="1677A11A" w14:textId="77777777" w:rsidR="00803DC6" w:rsidRPr="0028248B" w:rsidRDefault="00803DC6" w:rsidP="004A7F47">
      <w:pPr>
        <w:numPr>
          <w:ilvl w:val="2"/>
          <w:numId w:val="10"/>
        </w:numPr>
        <w:spacing w:after="0" w:line="240" w:lineRule="auto"/>
        <w:ind w:left="1418" w:hanging="709"/>
        <w:jc w:val="both"/>
        <w:rPr>
          <w:rFonts w:cs="Calibri"/>
          <w:sz w:val="22"/>
          <w:szCs w:val="22"/>
        </w:rPr>
      </w:pPr>
      <w:r w:rsidRPr="005B6405">
        <w:rPr>
          <w:rFonts w:cs="Calibri"/>
          <w:sz w:val="22"/>
          <w:szCs w:val="22"/>
        </w:rPr>
        <w:t xml:space="preserve">The applicant shall submit the following documents on BRIMS </w:t>
      </w:r>
      <w:r w:rsidRPr="0028248B">
        <w:rPr>
          <w:rFonts w:cs="Calibri"/>
          <w:sz w:val="22"/>
          <w:szCs w:val="22"/>
        </w:rPr>
        <w:t xml:space="preserve">Portal </w:t>
      </w:r>
      <w:hyperlink r:id="rId18" w:history="1">
        <w:r w:rsidRPr="0028248B">
          <w:rPr>
            <w:rFonts w:eastAsia="Calibri" w:cs="Arial"/>
            <w:color w:val="0563C1"/>
            <w:sz w:val="22"/>
            <w:szCs w:val="22"/>
            <w:u w:val="single"/>
          </w:rPr>
          <w:t>https://brims.bomra.co.bw/</w:t>
        </w:r>
      </w:hyperlink>
      <w:r w:rsidRPr="0028248B">
        <w:rPr>
          <w:rFonts w:cs="Calibri"/>
          <w:sz w:val="22"/>
          <w:szCs w:val="22"/>
        </w:rPr>
        <w:t xml:space="preserve"> </w:t>
      </w:r>
    </w:p>
    <w:p w14:paraId="066C15A0" w14:textId="785EA6D8" w:rsidR="00803DC6" w:rsidRPr="005B6405" w:rsidRDefault="00803DC6" w:rsidP="004A7F47">
      <w:pPr>
        <w:numPr>
          <w:ilvl w:val="0"/>
          <w:numId w:val="12"/>
        </w:numPr>
        <w:spacing w:after="0" w:line="240" w:lineRule="auto"/>
        <w:jc w:val="both"/>
        <w:rPr>
          <w:rFonts w:cs="Calibri"/>
          <w:sz w:val="22"/>
          <w:szCs w:val="22"/>
        </w:rPr>
      </w:pPr>
      <w:r w:rsidRPr="005B6405">
        <w:rPr>
          <w:rFonts w:cs="Calibri"/>
          <w:sz w:val="22"/>
          <w:szCs w:val="22"/>
        </w:rPr>
        <w:t>A certified copy of the pharmacist’s registration certificate issued by</w:t>
      </w:r>
      <w:r w:rsidR="00E5153C" w:rsidRPr="005B6405">
        <w:rPr>
          <w:rFonts w:cs="Calibri"/>
          <w:sz w:val="22"/>
          <w:szCs w:val="22"/>
        </w:rPr>
        <w:t xml:space="preserve"> Botswana Health Profession</w:t>
      </w:r>
      <w:r w:rsidR="00D56C4E" w:rsidRPr="005B6405">
        <w:rPr>
          <w:rFonts w:cs="Calibri"/>
          <w:sz w:val="22"/>
          <w:szCs w:val="22"/>
        </w:rPr>
        <w:t>al</w:t>
      </w:r>
      <w:r w:rsidR="00E5153C" w:rsidRPr="005B6405">
        <w:rPr>
          <w:rFonts w:cs="Calibri"/>
          <w:sz w:val="22"/>
          <w:szCs w:val="22"/>
        </w:rPr>
        <w:t>s Coun</w:t>
      </w:r>
      <w:r w:rsidR="00D56C4E" w:rsidRPr="005B6405">
        <w:rPr>
          <w:rFonts w:cs="Calibri"/>
          <w:sz w:val="22"/>
          <w:szCs w:val="22"/>
        </w:rPr>
        <w:t>cil.</w:t>
      </w:r>
    </w:p>
    <w:p w14:paraId="7B8650EC" w14:textId="77777777" w:rsidR="00803DC6" w:rsidRPr="0028248B" w:rsidRDefault="00803DC6" w:rsidP="004A7F47">
      <w:pPr>
        <w:numPr>
          <w:ilvl w:val="0"/>
          <w:numId w:val="12"/>
        </w:numPr>
        <w:spacing w:after="0" w:line="240" w:lineRule="auto"/>
        <w:jc w:val="both"/>
        <w:rPr>
          <w:rFonts w:cs="Calibri"/>
          <w:sz w:val="22"/>
          <w:szCs w:val="22"/>
        </w:rPr>
      </w:pPr>
      <w:r w:rsidRPr="005B6405">
        <w:rPr>
          <w:rFonts w:cs="Calibri"/>
          <w:sz w:val="22"/>
          <w:szCs w:val="22"/>
        </w:rPr>
        <w:t>A certified copy of a valid blue card (Permission to practise ID)</w:t>
      </w:r>
    </w:p>
    <w:p w14:paraId="6ADB579B" w14:textId="77777777" w:rsidR="00803DC6" w:rsidRPr="0028248B" w:rsidRDefault="00803DC6" w:rsidP="004A7F47">
      <w:pPr>
        <w:numPr>
          <w:ilvl w:val="0"/>
          <w:numId w:val="12"/>
        </w:numPr>
        <w:spacing w:after="0" w:line="240" w:lineRule="auto"/>
        <w:jc w:val="both"/>
        <w:rPr>
          <w:rFonts w:cs="Calibri"/>
          <w:sz w:val="22"/>
          <w:szCs w:val="22"/>
        </w:rPr>
      </w:pPr>
      <w:r w:rsidRPr="005B6405">
        <w:rPr>
          <w:rFonts w:cs="Calibri"/>
          <w:sz w:val="22"/>
          <w:szCs w:val="22"/>
        </w:rPr>
        <w:t>Copy of the Expiring BoMRA License (Renewals)</w:t>
      </w:r>
    </w:p>
    <w:p w14:paraId="7BBCC878" w14:textId="77777777" w:rsidR="00803DC6" w:rsidRPr="0028248B" w:rsidRDefault="00803DC6" w:rsidP="004A7F47">
      <w:pPr>
        <w:numPr>
          <w:ilvl w:val="0"/>
          <w:numId w:val="12"/>
        </w:numPr>
        <w:spacing w:after="0" w:line="240" w:lineRule="auto"/>
        <w:jc w:val="both"/>
        <w:rPr>
          <w:rFonts w:cs="Calibri"/>
          <w:sz w:val="22"/>
          <w:szCs w:val="22"/>
        </w:rPr>
      </w:pPr>
      <w:r w:rsidRPr="005B6405">
        <w:rPr>
          <w:rFonts w:cs="Calibri"/>
          <w:sz w:val="22"/>
          <w:szCs w:val="22"/>
        </w:rPr>
        <w:t>An approved sketch plan of the premises (new facilities)</w:t>
      </w:r>
    </w:p>
    <w:p w14:paraId="1463AAD8" w14:textId="77777777" w:rsidR="00803DC6" w:rsidRPr="005B6405" w:rsidRDefault="00803DC6" w:rsidP="004A7F47">
      <w:pPr>
        <w:numPr>
          <w:ilvl w:val="0"/>
          <w:numId w:val="12"/>
        </w:numPr>
        <w:spacing w:after="0" w:line="240" w:lineRule="auto"/>
        <w:jc w:val="both"/>
        <w:rPr>
          <w:rFonts w:cs="Calibri"/>
          <w:sz w:val="22"/>
          <w:szCs w:val="22"/>
        </w:rPr>
      </w:pPr>
      <w:r w:rsidRPr="005B6405">
        <w:rPr>
          <w:rFonts w:cs="Calibri"/>
          <w:sz w:val="22"/>
          <w:szCs w:val="22"/>
        </w:rPr>
        <w:lastRenderedPageBreak/>
        <w:t xml:space="preserve">Proof of payment (use facility name as reference) or pay online on BRIMS </w:t>
      </w:r>
    </w:p>
    <w:p w14:paraId="4E9DCEB3" w14:textId="77777777" w:rsidR="00803DC6" w:rsidRPr="005B6405" w:rsidRDefault="00803DC6" w:rsidP="004A7F47">
      <w:pPr>
        <w:numPr>
          <w:ilvl w:val="0"/>
          <w:numId w:val="12"/>
        </w:numPr>
        <w:spacing w:after="0" w:line="240" w:lineRule="auto"/>
        <w:jc w:val="both"/>
        <w:rPr>
          <w:rFonts w:cs="Calibri"/>
          <w:sz w:val="22"/>
          <w:szCs w:val="22"/>
        </w:rPr>
      </w:pPr>
      <w:r w:rsidRPr="005B6405">
        <w:rPr>
          <w:rFonts w:cs="Calibri"/>
          <w:sz w:val="22"/>
          <w:szCs w:val="22"/>
        </w:rPr>
        <w:t>Certified copy of identity card or passport</w:t>
      </w:r>
    </w:p>
    <w:p w14:paraId="55AD7AFF" w14:textId="4CD5BB06" w:rsidR="00EB0089" w:rsidRPr="005B6405" w:rsidRDefault="002956F9" w:rsidP="004A7F47">
      <w:pPr>
        <w:numPr>
          <w:ilvl w:val="0"/>
          <w:numId w:val="12"/>
        </w:numPr>
        <w:spacing w:after="0" w:line="240" w:lineRule="auto"/>
        <w:jc w:val="both"/>
        <w:rPr>
          <w:rFonts w:cs="Calibri"/>
          <w:sz w:val="22"/>
          <w:szCs w:val="22"/>
        </w:rPr>
      </w:pPr>
      <w:r w:rsidRPr="005B6405">
        <w:rPr>
          <w:rFonts w:cs="Calibri"/>
          <w:sz w:val="22"/>
          <w:szCs w:val="22"/>
        </w:rPr>
        <w:t>A certified copy of a valid private practice licen</w:t>
      </w:r>
      <w:r w:rsidR="00EB0089" w:rsidRPr="005B6405">
        <w:rPr>
          <w:rFonts w:cs="Calibri"/>
          <w:sz w:val="22"/>
          <w:szCs w:val="22"/>
        </w:rPr>
        <w:t>ce for the pharmacist</w:t>
      </w:r>
      <w:r w:rsidR="00B1155A" w:rsidRPr="005B6405">
        <w:rPr>
          <w:rFonts w:cs="Calibri"/>
          <w:sz w:val="22"/>
          <w:szCs w:val="22"/>
        </w:rPr>
        <w:t xml:space="preserve"> or </w:t>
      </w:r>
      <w:r w:rsidR="003D3CF3" w:rsidRPr="005B6405">
        <w:rPr>
          <w:rFonts w:cs="Calibri"/>
          <w:sz w:val="22"/>
          <w:szCs w:val="22"/>
        </w:rPr>
        <w:t xml:space="preserve">a </w:t>
      </w:r>
      <w:r w:rsidR="00B1155A" w:rsidRPr="005B6405">
        <w:rPr>
          <w:rFonts w:cs="Calibri"/>
          <w:sz w:val="22"/>
          <w:szCs w:val="22"/>
        </w:rPr>
        <w:t xml:space="preserve">permission to </w:t>
      </w:r>
      <w:r w:rsidR="003D3CF3" w:rsidRPr="005B6405">
        <w:rPr>
          <w:rFonts w:cs="Calibri"/>
          <w:sz w:val="22"/>
          <w:szCs w:val="22"/>
        </w:rPr>
        <w:t>employ another pharmacist letter.</w:t>
      </w:r>
    </w:p>
    <w:p w14:paraId="170F85A4" w14:textId="77777777" w:rsidR="00803DC6" w:rsidRPr="005B6405" w:rsidRDefault="00803DC6" w:rsidP="004A7F47">
      <w:pPr>
        <w:numPr>
          <w:ilvl w:val="2"/>
          <w:numId w:val="10"/>
        </w:numPr>
        <w:spacing w:after="0" w:line="240" w:lineRule="auto"/>
        <w:contextualSpacing/>
        <w:jc w:val="both"/>
        <w:rPr>
          <w:rFonts w:cs="Calibri"/>
          <w:sz w:val="22"/>
          <w:szCs w:val="22"/>
        </w:rPr>
      </w:pPr>
      <w:r w:rsidRPr="005B6405">
        <w:rPr>
          <w:rFonts w:cs="Calibri"/>
          <w:sz w:val="22"/>
          <w:szCs w:val="22"/>
        </w:rPr>
        <w:t>Confirmation of application submission must be emailed to BoMRA at </w:t>
      </w:r>
      <w:hyperlink r:id="rId19" w:tgtFrame="_blank" w:history="1">
        <w:r w:rsidRPr="005B6405">
          <w:rPr>
            <w:rFonts w:cs="Calibri"/>
            <w:color w:val="0563C1"/>
            <w:sz w:val="22"/>
            <w:szCs w:val="22"/>
            <w:u w:val="single"/>
          </w:rPr>
          <w:t>inspections@bomra.co.bw</w:t>
        </w:r>
      </w:hyperlink>
      <w:r w:rsidRPr="005B6405">
        <w:rPr>
          <w:rFonts w:cs="Calibri"/>
          <w:sz w:val="22"/>
          <w:szCs w:val="22"/>
        </w:rPr>
        <w:t> with the TRC (Tracking Number) number of as the subject the email.</w:t>
      </w:r>
    </w:p>
    <w:p w14:paraId="4986AB89" w14:textId="795D50E5" w:rsidR="00803DC6" w:rsidRPr="005B6405" w:rsidRDefault="00803DC6" w:rsidP="004A7F47">
      <w:pPr>
        <w:numPr>
          <w:ilvl w:val="2"/>
          <w:numId w:val="10"/>
        </w:numPr>
        <w:spacing w:after="0" w:line="240" w:lineRule="auto"/>
        <w:contextualSpacing/>
        <w:jc w:val="both"/>
        <w:rPr>
          <w:rFonts w:eastAsiaTheme="minorEastAsia" w:cs="Calibri"/>
          <w:sz w:val="22"/>
          <w:szCs w:val="22"/>
        </w:rPr>
      </w:pPr>
      <w:r w:rsidRPr="005B6405">
        <w:rPr>
          <w:rFonts w:eastAsiaTheme="minorEastAsia" w:cs="Calibri"/>
          <w:b/>
          <w:bCs/>
          <w:sz w:val="22"/>
          <w:szCs w:val="22"/>
        </w:rPr>
        <w:t>Note:</w:t>
      </w:r>
      <w:r w:rsidRPr="005B6405">
        <w:rPr>
          <w:rFonts w:eastAsiaTheme="minorEastAsia" w:cs="Calibri"/>
          <w:sz w:val="22"/>
          <w:szCs w:val="22"/>
        </w:rPr>
        <w:t xml:space="preserve"> Applications are sent to the Finance Department for payment verification before application screening by receiving officer on the BRIMS </w:t>
      </w:r>
      <w:r w:rsidR="00213CF8" w:rsidRPr="005B6405">
        <w:rPr>
          <w:rFonts w:eastAsiaTheme="minorEastAsia" w:cs="Calibri"/>
          <w:sz w:val="22"/>
          <w:szCs w:val="22"/>
        </w:rPr>
        <w:t>portal</w:t>
      </w:r>
      <w:r w:rsidRPr="005B6405">
        <w:rPr>
          <w:rFonts w:eastAsiaTheme="minorEastAsia" w:cs="Calibri"/>
          <w:sz w:val="22"/>
          <w:szCs w:val="22"/>
        </w:rPr>
        <w:t xml:space="preserve">. </w:t>
      </w:r>
    </w:p>
    <w:p w14:paraId="678F2F8D" w14:textId="77777777" w:rsidR="00371A53" w:rsidRPr="005B6405" w:rsidRDefault="00371A53" w:rsidP="006C3805">
      <w:pPr>
        <w:spacing w:after="0" w:line="240" w:lineRule="auto"/>
        <w:ind w:left="958"/>
        <w:contextualSpacing/>
        <w:jc w:val="both"/>
        <w:rPr>
          <w:rFonts w:eastAsiaTheme="minorEastAsia" w:cs="Calibri"/>
          <w:sz w:val="22"/>
          <w:szCs w:val="22"/>
        </w:rPr>
      </w:pPr>
    </w:p>
    <w:p w14:paraId="52B42EC8" w14:textId="0DA5212D" w:rsidR="00AA4BE0" w:rsidRPr="005B6405" w:rsidRDefault="00EE52D6" w:rsidP="004A7F47">
      <w:pPr>
        <w:pStyle w:val="ListParagraph"/>
        <w:numPr>
          <w:ilvl w:val="1"/>
          <w:numId w:val="13"/>
        </w:numPr>
        <w:spacing w:after="0" w:line="240" w:lineRule="auto"/>
        <w:jc w:val="both"/>
        <w:rPr>
          <w:b/>
          <w:bCs/>
        </w:rPr>
      </w:pPr>
      <w:r w:rsidRPr="005B6405">
        <w:rPr>
          <w:b/>
          <w:bCs/>
        </w:rPr>
        <w:t>Processing of Application</w:t>
      </w:r>
    </w:p>
    <w:p w14:paraId="6EE28350" w14:textId="6233AB52" w:rsidR="009B3064" w:rsidRPr="005B6405" w:rsidRDefault="009B3064" w:rsidP="004A7F47">
      <w:pPr>
        <w:numPr>
          <w:ilvl w:val="2"/>
          <w:numId w:val="13"/>
        </w:numPr>
        <w:spacing w:after="0"/>
        <w:jc w:val="both"/>
        <w:rPr>
          <w:rFonts w:cs="Calibri"/>
          <w:sz w:val="22"/>
          <w:szCs w:val="22"/>
        </w:rPr>
      </w:pPr>
      <w:r w:rsidRPr="005B6405">
        <w:rPr>
          <w:rFonts w:cs="Calibri"/>
          <w:sz w:val="22"/>
          <w:szCs w:val="22"/>
        </w:rPr>
        <w:t>Upon receiving the application as specified above, BoMRA will assess it to verify whether the requirements have been fulfilled.</w:t>
      </w:r>
    </w:p>
    <w:p w14:paraId="02D48F66" w14:textId="77777777" w:rsidR="009B3064" w:rsidRPr="005B6405" w:rsidRDefault="009B3064" w:rsidP="004A7F47">
      <w:pPr>
        <w:numPr>
          <w:ilvl w:val="2"/>
          <w:numId w:val="13"/>
        </w:numPr>
        <w:spacing w:after="0" w:line="240" w:lineRule="auto"/>
        <w:jc w:val="both"/>
        <w:rPr>
          <w:rFonts w:cs="Calibri"/>
          <w:sz w:val="22"/>
          <w:szCs w:val="22"/>
        </w:rPr>
      </w:pPr>
      <w:r w:rsidRPr="005B6405">
        <w:rPr>
          <w:rFonts w:cs="Calibri"/>
          <w:sz w:val="22"/>
          <w:szCs w:val="22"/>
        </w:rPr>
        <w:t>If the application meets the prescribed requirements, the Authority will proceed to carry out an inspection of the pharmaceutical operations.</w:t>
      </w:r>
    </w:p>
    <w:p w14:paraId="2F8DEEEF" w14:textId="77777777" w:rsidR="009B3064" w:rsidRPr="005B6405" w:rsidRDefault="009B3064" w:rsidP="004A7F47">
      <w:pPr>
        <w:numPr>
          <w:ilvl w:val="2"/>
          <w:numId w:val="13"/>
        </w:numPr>
        <w:spacing w:after="0" w:line="240" w:lineRule="auto"/>
        <w:contextualSpacing/>
        <w:rPr>
          <w:rFonts w:cs="Calibri"/>
          <w:sz w:val="22"/>
          <w:szCs w:val="22"/>
        </w:rPr>
      </w:pPr>
      <w:r w:rsidRPr="005B6405">
        <w:rPr>
          <w:rFonts w:cs="Calibri"/>
          <w:sz w:val="22"/>
          <w:szCs w:val="22"/>
        </w:rPr>
        <w:t>An application is considered successfully submitted only upon successful payment verification and successful screening by the receiving officer on the BRIMS portal.</w:t>
      </w:r>
    </w:p>
    <w:p w14:paraId="7314071D" w14:textId="77777777" w:rsidR="009B3064" w:rsidRPr="005B6405" w:rsidRDefault="009B3064" w:rsidP="004A7F47">
      <w:pPr>
        <w:numPr>
          <w:ilvl w:val="2"/>
          <w:numId w:val="13"/>
        </w:numPr>
        <w:spacing w:after="0" w:line="240" w:lineRule="auto"/>
        <w:jc w:val="both"/>
        <w:rPr>
          <w:rFonts w:cs="Calibri"/>
          <w:sz w:val="22"/>
          <w:szCs w:val="22"/>
        </w:rPr>
      </w:pPr>
      <w:r w:rsidRPr="005B6405">
        <w:rPr>
          <w:rFonts w:cs="Calibri"/>
          <w:sz w:val="22"/>
          <w:szCs w:val="22"/>
        </w:rPr>
        <w:t>An application will be rejected if it does not meet the minimum application requirements. The applicant shall receive communication outlining reasons for an unsatisfactory application submission.</w:t>
      </w:r>
    </w:p>
    <w:p w14:paraId="6261CE88" w14:textId="37D16346" w:rsidR="009B3064" w:rsidRPr="005B6405" w:rsidRDefault="009B3064" w:rsidP="004A7F47">
      <w:pPr>
        <w:numPr>
          <w:ilvl w:val="2"/>
          <w:numId w:val="13"/>
        </w:numPr>
        <w:spacing w:after="0" w:line="240" w:lineRule="auto"/>
        <w:jc w:val="both"/>
        <w:rPr>
          <w:rFonts w:cs="Calibri"/>
          <w:sz w:val="22"/>
          <w:szCs w:val="22"/>
        </w:rPr>
      </w:pPr>
      <w:r w:rsidRPr="005B6405">
        <w:rPr>
          <w:rFonts w:cs="Calibri"/>
          <w:sz w:val="22"/>
          <w:szCs w:val="22"/>
        </w:rPr>
        <w:t xml:space="preserve">New operations and license renewal shall be inspected, as per Customer service standards </w:t>
      </w:r>
      <w:r w:rsidRPr="005B6405">
        <w:rPr>
          <w:rFonts w:cs="Calibri"/>
          <w:b/>
          <w:bCs/>
          <w:i/>
          <w:iCs/>
          <w:color w:val="5B9BD5" w:themeColor="accent5"/>
          <w:sz w:val="22"/>
          <w:szCs w:val="22"/>
        </w:rPr>
        <w:t>BOMRA/CEO/PR/P08/A01</w:t>
      </w:r>
      <w:r w:rsidR="00FD0435" w:rsidRPr="005B6405">
        <w:rPr>
          <w:rFonts w:cs="Calibri"/>
          <w:b/>
          <w:bCs/>
          <w:i/>
          <w:iCs/>
          <w:color w:val="5B9BD5" w:themeColor="accent5"/>
          <w:sz w:val="22"/>
          <w:szCs w:val="22"/>
        </w:rPr>
        <w:t>.</w:t>
      </w:r>
      <w:r w:rsidRPr="005B6405">
        <w:rPr>
          <w:rFonts w:cs="Calibri"/>
          <w:color w:val="5B9BD5" w:themeColor="accent5"/>
          <w:sz w:val="22"/>
          <w:szCs w:val="22"/>
        </w:rPr>
        <w:t xml:space="preserve"> </w:t>
      </w:r>
      <w:r w:rsidR="00FD0435" w:rsidRPr="005B6405">
        <w:rPr>
          <w:rFonts w:cs="Calibri"/>
          <w:sz w:val="22"/>
          <w:szCs w:val="22"/>
        </w:rPr>
        <w:t>A</w:t>
      </w:r>
      <w:r w:rsidRPr="005B6405">
        <w:rPr>
          <w:rFonts w:cs="Calibri"/>
          <w:sz w:val="22"/>
          <w:szCs w:val="22"/>
        </w:rPr>
        <w:t>fter the submission of a successful application, the applicant shall be notified of date and time prior to inspection.</w:t>
      </w:r>
    </w:p>
    <w:p w14:paraId="5E9B6FDD" w14:textId="2CFA0145" w:rsidR="008F0050" w:rsidRPr="005B6405" w:rsidRDefault="009B3064" w:rsidP="004A7F47">
      <w:pPr>
        <w:numPr>
          <w:ilvl w:val="2"/>
          <w:numId w:val="13"/>
        </w:numPr>
        <w:spacing w:after="0" w:line="240" w:lineRule="auto"/>
        <w:jc w:val="both"/>
        <w:rPr>
          <w:rFonts w:cs="Calibri"/>
          <w:sz w:val="22"/>
          <w:szCs w:val="22"/>
        </w:rPr>
      </w:pPr>
      <w:r w:rsidRPr="005B6405">
        <w:rPr>
          <w:rFonts w:cs="Calibri"/>
          <w:sz w:val="22"/>
          <w:szCs w:val="22"/>
        </w:rPr>
        <w:t xml:space="preserve">Expedited applications paid with the prescribed fees for each scope of operations, timelines for inspection shall be conducted as per Customer service standards </w:t>
      </w:r>
      <w:r w:rsidRPr="005B6405">
        <w:rPr>
          <w:rFonts w:cs="Calibri"/>
          <w:b/>
          <w:bCs/>
          <w:i/>
          <w:iCs/>
          <w:color w:val="5B9BD5" w:themeColor="accent5"/>
          <w:sz w:val="22"/>
          <w:szCs w:val="22"/>
        </w:rPr>
        <w:t>BOMRA/CEO/PR/P08/A01</w:t>
      </w:r>
      <w:r w:rsidR="006C3805" w:rsidRPr="005B6405">
        <w:rPr>
          <w:rFonts w:cs="Calibri"/>
          <w:color w:val="5B9BD5" w:themeColor="accent5"/>
          <w:sz w:val="22"/>
          <w:szCs w:val="22"/>
        </w:rPr>
        <w:t>.</w:t>
      </w:r>
    </w:p>
    <w:p w14:paraId="1F7E1056" w14:textId="77777777" w:rsidR="008F0050" w:rsidRPr="005B6405" w:rsidRDefault="008F0050" w:rsidP="00E1340A">
      <w:pPr>
        <w:spacing w:after="0" w:line="240" w:lineRule="auto"/>
        <w:jc w:val="both"/>
        <w:rPr>
          <w:rFonts w:cs="Calibri"/>
          <w:sz w:val="22"/>
          <w:szCs w:val="22"/>
        </w:rPr>
      </w:pPr>
    </w:p>
    <w:p w14:paraId="56F4480E" w14:textId="195B1092" w:rsidR="00CF3691" w:rsidRPr="005B6405" w:rsidRDefault="00CF3691" w:rsidP="004A7F47">
      <w:pPr>
        <w:pStyle w:val="ListParagraph"/>
        <w:numPr>
          <w:ilvl w:val="1"/>
          <w:numId w:val="13"/>
        </w:numPr>
        <w:rPr>
          <w:rStyle w:val="Hyperlink"/>
          <w:b/>
          <w:bCs/>
          <w:color w:val="auto"/>
          <w:u w:val="none"/>
        </w:rPr>
      </w:pPr>
      <w:bookmarkStart w:id="30" w:name="_Toc44689500"/>
      <w:r w:rsidRPr="005B6405">
        <w:rPr>
          <w:rStyle w:val="Hyperlink"/>
          <w:b/>
          <w:bCs/>
          <w:color w:val="auto"/>
          <w:u w:val="none"/>
        </w:rPr>
        <w:t xml:space="preserve">Inspection and Licensing of </w:t>
      </w:r>
      <w:r w:rsidR="000B7EBC" w:rsidRPr="005B6405">
        <w:rPr>
          <w:rStyle w:val="Hyperlink"/>
          <w:b/>
          <w:bCs/>
          <w:color w:val="auto"/>
          <w:u w:val="none"/>
        </w:rPr>
        <w:t>Establishment</w:t>
      </w:r>
      <w:bookmarkEnd w:id="30"/>
    </w:p>
    <w:p w14:paraId="4D0B895D" w14:textId="096C770D"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Inspection is required prior to the granting (pre-licensing) or re-granting (Renewal) of a licence, or upon approval of a substantial modification</w:t>
      </w:r>
      <w:r w:rsidR="00097FBF" w:rsidRPr="0028248B">
        <w:rPr>
          <w:rFonts w:cs="Calibri"/>
          <w:sz w:val="22"/>
          <w:szCs w:val="22"/>
        </w:rPr>
        <w:t xml:space="preserve"> </w:t>
      </w:r>
      <w:r w:rsidRPr="0028248B">
        <w:rPr>
          <w:rFonts w:cs="Calibri"/>
          <w:sz w:val="22"/>
          <w:szCs w:val="22"/>
        </w:rPr>
        <w:t>(variation) to an existing licence.</w:t>
      </w:r>
    </w:p>
    <w:p w14:paraId="4EA1996A"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Inspections shall be conducted by authorised BoMRA inspectors, who shall identify themselves by presenting valid BoMRA Inspector identity cards upon arrival.</w:t>
      </w:r>
    </w:p>
    <w:p w14:paraId="28874F2D" w14:textId="27A26E7C"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 xml:space="preserve">The purpose of the inspection is to assess compliance of the premises with good storage and distribution Practices, the Act, Regulations, </w:t>
      </w:r>
      <w:r w:rsidR="004E28A0" w:rsidRPr="0028248B">
        <w:rPr>
          <w:rFonts w:cs="Calibri"/>
          <w:sz w:val="22"/>
          <w:szCs w:val="22"/>
        </w:rPr>
        <w:t>Good Pharmacy Practice</w:t>
      </w:r>
      <w:r w:rsidR="00720A8C" w:rsidRPr="0028248B">
        <w:rPr>
          <w:rFonts w:cs="Calibri"/>
          <w:sz w:val="22"/>
          <w:szCs w:val="22"/>
        </w:rPr>
        <w:t xml:space="preserve">, </w:t>
      </w:r>
      <w:r w:rsidRPr="0028248B">
        <w:rPr>
          <w:rFonts w:cs="Calibri"/>
          <w:sz w:val="22"/>
          <w:szCs w:val="22"/>
        </w:rPr>
        <w:t>and any other applicable legislation.</w:t>
      </w:r>
    </w:p>
    <w:p w14:paraId="69F538C1"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The inspection report shall be issued to the inspected facility within ten (10) working days of the inspection date.</w:t>
      </w:r>
    </w:p>
    <w:p w14:paraId="7F8F21EC"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Deficiencies identified during inspection shall be categorised as minor, major, or critical, based on the potential impact on product quality, safety, and efficacy, risk to the patient, and likelihood of recurrence.</w:t>
      </w:r>
    </w:p>
    <w:p w14:paraId="31154476"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 xml:space="preserve">The categorisation of deficiency, as per Guideline for Classification of GXP Deficiencies </w:t>
      </w:r>
      <w:r w:rsidRPr="0028248B">
        <w:rPr>
          <w:rFonts w:cs="Calibri"/>
          <w:b/>
          <w:bCs/>
          <w:i/>
          <w:iCs/>
          <w:color w:val="5B9BD5" w:themeColor="accent5"/>
          <w:sz w:val="22"/>
          <w:szCs w:val="22"/>
        </w:rPr>
        <w:t>BOMRA/IL/IL/P01/G08</w:t>
      </w:r>
      <w:r w:rsidRPr="0028248B">
        <w:rPr>
          <w:rFonts w:cs="Calibri"/>
          <w:color w:val="5B9BD5" w:themeColor="accent5"/>
          <w:sz w:val="22"/>
          <w:szCs w:val="22"/>
        </w:rPr>
        <w:t xml:space="preserve"> </w:t>
      </w:r>
      <w:r w:rsidRPr="0028248B">
        <w:rPr>
          <w:rFonts w:cs="Calibri"/>
          <w:sz w:val="22"/>
          <w:szCs w:val="22"/>
        </w:rPr>
        <w:t>shall inform the facility's Compliance Risk Score, which may determine the frequency and type of subsequent regulatory oversight, including physical inspections, risk assessments, or desk-based abridged assessments.</w:t>
      </w:r>
    </w:p>
    <w:p w14:paraId="17F021BC"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lastRenderedPageBreak/>
        <w:t>Where deficiencies are identified, the inspected facility shall, upon receipt of the inspection report, submit a Corrective and Preventive Action (CAPA) plan addressing all findings within the timeframe specified by the Authority.</w:t>
      </w:r>
    </w:p>
    <w:p w14:paraId="724AEBFB"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Applicants demonstrating compliance with the prescribed minimum requirements shall be issued a licence.</w:t>
      </w:r>
    </w:p>
    <w:p w14:paraId="3F4BEF59"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Where critical non-conformances have been identified, the Authority may require a confirmatory re-inspection prior to licence issuance to verify on-site that all critical findings have been adequately addressed. Applicable inspection fees shall apply.</w:t>
      </w:r>
    </w:p>
    <w:p w14:paraId="5F2A0A36"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Where critical non-conformances are identified at a licensed facility and pose an immediate or significant risk to public health, product quality, safety, or efficacy, the Authority may, without prejudice to any other regulatory action:</w:t>
      </w:r>
    </w:p>
    <w:p w14:paraId="6AD6B47F" w14:textId="77777777" w:rsidR="00DF410E" w:rsidRPr="0028248B" w:rsidRDefault="00DF410E" w:rsidP="004A7F47">
      <w:pPr>
        <w:numPr>
          <w:ilvl w:val="0"/>
          <w:numId w:val="17"/>
        </w:numPr>
        <w:spacing w:after="0" w:line="240" w:lineRule="auto"/>
        <w:contextualSpacing/>
        <w:jc w:val="both"/>
        <w:rPr>
          <w:rFonts w:cs="Calibri"/>
          <w:sz w:val="22"/>
          <w:szCs w:val="22"/>
        </w:rPr>
      </w:pPr>
      <w:r w:rsidRPr="0028248B">
        <w:rPr>
          <w:rFonts w:cs="Calibri"/>
          <w:sz w:val="22"/>
          <w:szCs w:val="22"/>
        </w:rPr>
        <w:t>suspend the licence with immediate effect, pending satisfactory resolution of the identified non-conformances and completion of a confirmatory re-inspection; or</w:t>
      </w:r>
    </w:p>
    <w:p w14:paraId="49D76825" w14:textId="77777777" w:rsidR="00DF410E" w:rsidRPr="0028248B" w:rsidRDefault="00DF410E" w:rsidP="004A7F47">
      <w:pPr>
        <w:numPr>
          <w:ilvl w:val="0"/>
          <w:numId w:val="17"/>
        </w:numPr>
        <w:spacing w:after="0" w:line="240" w:lineRule="auto"/>
        <w:contextualSpacing/>
        <w:jc w:val="both"/>
        <w:rPr>
          <w:rFonts w:cs="Calibri"/>
          <w:sz w:val="22"/>
          <w:szCs w:val="22"/>
        </w:rPr>
      </w:pPr>
      <w:r w:rsidRPr="0028248B">
        <w:rPr>
          <w:rFonts w:cs="Calibri"/>
          <w:sz w:val="22"/>
          <w:szCs w:val="22"/>
        </w:rPr>
        <w:t>withdraw the licence where the facility has failed to adequately address critical non-conformances within the period stipulated by the Authority, demonstrates a pattern of repeated non-compliance, or where continued operation presents an unacceptable risk to public health.</w:t>
      </w:r>
    </w:p>
    <w:p w14:paraId="67C31E98"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The Authority shall notify the licence holder in writing of any suspension or withdrawal, stating the grounds for the regulatory action, the conditions for reinstatement where applicable, and the right of the licence holder to appeal the decision in accordance with the Act.</w:t>
      </w:r>
    </w:p>
    <w:p w14:paraId="43798E2D" w14:textId="77777777" w:rsidR="00DF410E" w:rsidRPr="0028248B" w:rsidRDefault="00DF410E" w:rsidP="004A7F47">
      <w:pPr>
        <w:numPr>
          <w:ilvl w:val="0"/>
          <w:numId w:val="16"/>
        </w:numPr>
        <w:spacing w:after="0" w:line="240" w:lineRule="auto"/>
        <w:contextualSpacing/>
        <w:jc w:val="both"/>
        <w:rPr>
          <w:rFonts w:cs="Calibri"/>
          <w:sz w:val="22"/>
          <w:szCs w:val="22"/>
        </w:rPr>
      </w:pPr>
      <w:r w:rsidRPr="0028248B">
        <w:rPr>
          <w:rFonts w:cs="Calibri"/>
          <w:sz w:val="22"/>
          <w:szCs w:val="22"/>
        </w:rPr>
        <w:t>In addition to suspension or withdrawal, the Authority may impose regulatory enforcement charges in accordance with the Act and applicable Regulations where non-compliance has been established. Such charges shall be commensurate with the nature, severity, and duration of the non-compliance and shall not preclude any further civil or criminal proceedings as provided for under the Act.</w:t>
      </w:r>
    </w:p>
    <w:p w14:paraId="29502FD6" w14:textId="77777777" w:rsidR="00DF410E" w:rsidRPr="0028248B" w:rsidRDefault="00DF410E" w:rsidP="00DF410E">
      <w:pPr>
        <w:spacing w:after="0"/>
        <w:ind w:left="1146"/>
        <w:jc w:val="both"/>
        <w:rPr>
          <w:rFonts w:cs="Calibri"/>
          <w:sz w:val="22"/>
          <w:szCs w:val="22"/>
        </w:rPr>
      </w:pPr>
    </w:p>
    <w:p w14:paraId="0447F645" w14:textId="77777777" w:rsidR="00DF410E" w:rsidRPr="0028248B" w:rsidRDefault="00DF410E" w:rsidP="004A7F47">
      <w:pPr>
        <w:numPr>
          <w:ilvl w:val="1"/>
          <w:numId w:val="13"/>
        </w:numPr>
        <w:spacing w:after="0" w:line="240" w:lineRule="auto"/>
        <w:contextualSpacing/>
        <w:jc w:val="both"/>
        <w:rPr>
          <w:rFonts w:cs="Calibri"/>
        </w:rPr>
      </w:pPr>
      <w:r w:rsidRPr="0028248B">
        <w:rPr>
          <w:rFonts w:cs="Calibri"/>
          <w:b/>
        </w:rPr>
        <w:t>Sampling and Evidence Collection during inspections</w:t>
      </w:r>
    </w:p>
    <w:p w14:paraId="57BF5A28" w14:textId="77777777" w:rsidR="00DF410E" w:rsidRPr="0028248B" w:rsidRDefault="00DF410E" w:rsidP="004A7F47">
      <w:pPr>
        <w:numPr>
          <w:ilvl w:val="2"/>
          <w:numId w:val="13"/>
        </w:numPr>
        <w:spacing w:after="0" w:line="240" w:lineRule="auto"/>
        <w:jc w:val="both"/>
        <w:rPr>
          <w:rFonts w:cs="Calibri"/>
          <w:sz w:val="22"/>
          <w:szCs w:val="22"/>
        </w:rPr>
      </w:pPr>
      <w:r w:rsidRPr="0028248B">
        <w:rPr>
          <w:rFonts w:cs="Calibri"/>
          <w:sz w:val="22"/>
          <w:szCs w:val="22"/>
        </w:rPr>
        <w:t>Authorised BoMRA officials shall have the authority to collect samples or any physical, documentary, or digital evidence necessary to determine compliance with the Medicines and Related Substances Act, 2025 and its Regulations. Such collection may be conducted during:</w:t>
      </w:r>
    </w:p>
    <w:p w14:paraId="62F286FF" w14:textId="2CA185FF" w:rsidR="00DF410E" w:rsidRPr="0028248B" w:rsidRDefault="00F16669" w:rsidP="004A7F47">
      <w:pPr>
        <w:numPr>
          <w:ilvl w:val="0"/>
          <w:numId w:val="18"/>
        </w:numPr>
        <w:spacing w:after="0" w:line="240" w:lineRule="auto"/>
        <w:contextualSpacing/>
        <w:jc w:val="both"/>
        <w:rPr>
          <w:rFonts w:cs="Calibri"/>
          <w:sz w:val="22"/>
          <w:szCs w:val="22"/>
        </w:rPr>
      </w:pPr>
      <w:r w:rsidRPr="0028248B">
        <w:rPr>
          <w:rFonts w:cs="Calibri"/>
          <w:sz w:val="22"/>
          <w:szCs w:val="22"/>
        </w:rPr>
        <w:t xml:space="preserve">License </w:t>
      </w:r>
      <w:r w:rsidR="00DF410E" w:rsidRPr="0028248B">
        <w:rPr>
          <w:rFonts w:cs="Calibri"/>
          <w:sz w:val="22"/>
          <w:szCs w:val="22"/>
        </w:rPr>
        <w:t>r</w:t>
      </w:r>
      <w:r w:rsidR="004427DE" w:rsidRPr="0028248B">
        <w:rPr>
          <w:rFonts w:cs="Calibri"/>
          <w:sz w:val="22"/>
          <w:szCs w:val="22"/>
        </w:rPr>
        <w:t>enewal</w:t>
      </w:r>
      <w:r w:rsidR="00DF410E" w:rsidRPr="0028248B">
        <w:rPr>
          <w:rFonts w:cs="Calibri"/>
          <w:sz w:val="22"/>
          <w:szCs w:val="22"/>
        </w:rPr>
        <w:t xml:space="preserve"> or </w:t>
      </w:r>
      <w:r w:rsidR="004427DE" w:rsidRPr="0028248B">
        <w:rPr>
          <w:rFonts w:cs="Calibri"/>
          <w:sz w:val="22"/>
          <w:szCs w:val="22"/>
        </w:rPr>
        <w:t>spot</w:t>
      </w:r>
      <w:r w:rsidR="00BE4B8C" w:rsidRPr="0028248B">
        <w:rPr>
          <w:rFonts w:cs="Calibri"/>
          <w:sz w:val="22"/>
          <w:szCs w:val="22"/>
        </w:rPr>
        <w:t xml:space="preserve"> </w:t>
      </w:r>
      <w:proofErr w:type="gramStart"/>
      <w:r w:rsidR="00BE4B8C" w:rsidRPr="0028248B">
        <w:rPr>
          <w:rFonts w:cs="Calibri"/>
          <w:sz w:val="22"/>
          <w:szCs w:val="22"/>
        </w:rPr>
        <w:t>in</w:t>
      </w:r>
      <w:r w:rsidR="007041E2" w:rsidRPr="0028248B">
        <w:rPr>
          <w:rFonts w:cs="Calibri"/>
          <w:sz w:val="22"/>
          <w:szCs w:val="22"/>
        </w:rPr>
        <w:t>s</w:t>
      </w:r>
      <w:r w:rsidR="00BE4B8C" w:rsidRPr="0028248B">
        <w:rPr>
          <w:rFonts w:cs="Calibri"/>
          <w:sz w:val="22"/>
          <w:szCs w:val="22"/>
        </w:rPr>
        <w:t>pec</w:t>
      </w:r>
      <w:r w:rsidR="001F02CB" w:rsidRPr="0028248B">
        <w:rPr>
          <w:rFonts w:cs="Calibri"/>
          <w:sz w:val="22"/>
          <w:szCs w:val="22"/>
        </w:rPr>
        <w:t>tion</w:t>
      </w:r>
      <w:r w:rsidR="00073F3E" w:rsidRPr="0028248B">
        <w:rPr>
          <w:rFonts w:cs="Calibri"/>
          <w:sz w:val="22"/>
          <w:szCs w:val="22"/>
        </w:rPr>
        <w:t>s</w:t>
      </w:r>
      <w:r w:rsidR="00DF410E" w:rsidRPr="0028248B">
        <w:rPr>
          <w:rFonts w:cs="Calibri"/>
          <w:sz w:val="22"/>
          <w:szCs w:val="22"/>
        </w:rPr>
        <w:t>;</w:t>
      </w:r>
      <w:proofErr w:type="gramEnd"/>
    </w:p>
    <w:p w14:paraId="0D31D602" w14:textId="4B9E5410" w:rsidR="00DF410E" w:rsidRPr="0028248B" w:rsidRDefault="00DF410E" w:rsidP="004A7F47">
      <w:pPr>
        <w:numPr>
          <w:ilvl w:val="0"/>
          <w:numId w:val="18"/>
        </w:numPr>
        <w:spacing w:after="0" w:line="240" w:lineRule="auto"/>
        <w:contextualSpacing/>
        <w:jc w:val="both"/>
        <w:rPr>
          <w:rFonts w:cs="Calibri"/>
          <w:sz w:val="22"/>
          <w:szCs w:val="22"/>
        </w:rPr>
      </w:pPr>
      <w:r w:rsidRPr="0028248B">
        <w:rPr>
          <w:rFonts w:cs="Calibri"/>
          <w:sz w:val="22"/>
          <w:szCs w:val="22"/>
        </w:rPr>
        <w:t xml:space="preserve">investigations relating to complaints, product quality issues, or suspected substandard or falsified </w:t>
      </w:r>
      <w:r w:rsidR="007041E2" w:rsidRPr="0028248B">
        <w:rPr>
          <w:rFonts w:cs="Calibri"/>
          <w:sz w:val="22"/>
          <w:szCs w:val="22"/>
        </w:rPr>
        <w:t>medicines.</w:t>
      </w:r>
    </w:p>
    <w:p w14:paraId="4BEBB762" w14:textId="77777777" w:rsidR="00DF410E" w:rsidRPr="0028248B" w:rsidRDefault="00DF410E" w:rsidP="004A7F47">
      <w:pPr>
        <w:numPr>
          <w:ilvl w:val="0"/>
          <w:numId w:val="18"/>
        </w:numPr>
        <w:spacing w:after="0" w:line="240" w:lineRule="auto"/>
        <w:contextualSpacing/>
        <w:jc w:val="both"/>
        <w:rPr>
          <w:rFonts w:cs="Calibri"/>
          <w:sz w:val="22"/>
          <w:szCs w:val="22"/>
        </w:rPr>
      </w:pPr>
      <w:r w:rsidRPr="0028248B">
        <w:rPr>
          <w:rFonts w:cs="Calibri"/>
          <w:sz w:val="22"/>
          <w:szCs w:val="22"/>
        </w:rPr>
        <w:t>verification of product authenticity, labelling, or packaging integrity; or</w:t>
      </w:r>
    </w:p>
    <w:p w14:paraId="2CE70E55" w14:textId="77777777" w:rsidR="00DF410E" w:rsidRPr="0028248B" w:rsidRDefault="00DF410E" w:rsidP="004A7F47">
      <w:pPr>
        <w:numPr>
          <w:ilvl w:val="0"/>
          <w:numId w:val="18"/>
        </w:numPr>
        <w:spacing w:after="0" w:line="240" w:lineRule="auto"/>
        <w:contextualSpacing/>
        <w:jc w:val="both"/>
        <w:rPr>
          <w:rFonts w:cs="Calibri"/>
          <w:sz w:val="22"/>
          <w:szCs w:val="22"/>
        </w:rPr>
      </w:pPr>
      <w:r w:rsidRPr="0028248B">
        <w:rPr>
          <w:rFonts w:cs="Calibri"/>
          <w:sz w:val="22"/>
          <w:szCs w:val="22"/>
        </w:rPr>
        <w:t>inspections related to the importation, distribution, or sale of medicines and related substances.</w:t>
      </w:r>
    </w:p>
    <w:p w14:paraId="371DA3A7" w14:textId="77777777" w:rsidR="00DF410E" w:rsidRPr="0028248B" w:rsidRDefault="00DF410E" w:rsidP="004A7F47">
      <w:pPr>
        <w:numPr>
          <w:ilvl w:val="2"/>
          <w:numId w:val="13"/>
        </w:numPr>
        <w:spacing w:after="0" w:line="240" w:lineRule="auto"/>
        <w:jc w:val="both"/>
        <w:rPr>
          <w:rFonts w:cs="Calibri"/>
          <w:sz w:val="22"/>
          <w:szCs w:val="22"/>
        </w:rPr>
      </w:pPr>
      <w:r w:rsidRPr="0028248B">
        <w:rPr>
          <w:rFonts w:cs="Calibri"/>
          <w:sz w:val="22"/>
          <w:szCs w:val="22"/>
        </w:rPr>
        <w:t>Where sampling is conducted, the BoMRA Sample Collection Form shall be completed and signed by both the inspector and the responsible representative of the establishment. A copy shall be issued to the establishment at the time of collection.</w:t>
      </w:r>
    </w:p>
    <w:p w14:paraId="071C102B" w14:textId="77777777" w:rsidR="00DF410E" w:rsidRPr="0028248B" w:rsidRDefault="00DF410E" w:rsidP="004A7F47">
      <w:pPr>
        <w:numPr>
          <w:ilvl w:val="2"/>
          <w:numId w:val="13"/>
        </w:numPr>
        <w:spacing w:after="0" w:line="240" w:lineRule="auto"/>
        <w:jc w:val="both"/>
        <w:rPr>
          <w:rFonts w:cs="Calibri"/>
          <w:sz w:val="22"/>
          <w:szCs w:val="22"/>
        </w:rPr>
      </w:pPr>
      <w:r w:rsidRPr="0028248B">
        <w:rPr>
          <w:rFonts w:cs="Calibri"/>
          <w:sz w:val="22"/>
          <w:szCs w:val="22"/>
        </w:rPr>
        <w:t>All samples and evidence shall be handled in accordance with the Authority's sampling procedures to ensure integrity, traceability, and security from collection through to analysis. Collected samples or evidence may be retained, analysed, or submitted to designated laboratories for confirmatory testing, risk assessment, or enforcement purposes.</w:t>
      </w:r>
    </w:p>
    <w:p w14:paraId="5AA4F492" w14:textId="7583E048" w:rsidR="00DF410E" w:rsidRPr="0028248B" w:rsidRDefault="00DF410E" w:rsidP="004A7F47">
      <w:pPr>
        <w:numPr>
          <w:ilvl w:val="2"/>
          <w:numId w:val="13"/>
        </w:numPr>
        <w:spacing w:after="0" w:line="240" w:lineRule="auto"/>
        <w:jc w:val="both"/>
        <w:rPr>
          <w:rFonts w:cs="Calibri"/>
          <w:sz w:val="22"/>
          <w:szCs w:val="22"/>
        </w:rPr>
      </w:pPr>
      <w:r w:rsidRPr="0028248B">
        <w:rPr>
          <w:rFonts w:cs="Calibri"/>
          <w:sz w:val="22"/>
          <w:szCs w:val="22"/>
        </w:rPr>
        <w:lastRenderedPageBreak/>
        <w:t xml:space="preserve">The owner, licence holder, or representative of the inspected </w:t>
      </w:r>
      <w:r w:rsidR="0071641A" w:rsidRPr="0028248B">
        <w:rPr>
          <w:rFonts w:cs="Calibri"/>
          <w:sz w:val="22"/>
          <w:szCs w:val="22"/>
        </w:rPr>
        <w:t>pharmacy</w:t>
      </w:r>
      <w:r w:rsidRPr="0028248B">
        <w:rPr>
          <w:rFonts w:cs="Calibri"/>
          <w:sz w:val="22"/>
          <w:szCs w:val="22"/>
        </w:rPr>
        <w:t xml:space="preserve"> shall facilitate access, provide requested documentation, and allow the secure collection of samples or evidence as directed by the inspecting officer. Failure to cooperate shall constitute a breach of licence conditions and may result in regulatory enforcement action.</w:t>
      </w:r>
    </w:p>
    <w:p w14:paraId="054772AA" w14:textId="77777777" w:rsidR="00DF410E" w:rsidRPr="005B6405" w:rsidRDefault="00DF410E" w:rsidP="00DF410E">
      <w:pPr>
        <w:spacing w:after="120"/>
        <w:jc w:val="both"/>
        <w:rPr>
          <w:rFonts w:cs="Calibri"/>
        </w:rPr>
      </w:pPr>
    </w:p>
    <w:p w14:paraId="21068D45" w14:textId="77777777" w:rsidR="00DF410E" w:rsidRPr="005B6405" w:rsidRDefault="00DF410E" w:rsidP="004A7F47">
      <w:pPr>
        <w:numPr>
          <w:ilvl w:val="1"/>
          <w:numId w:val="13"/>
        </w:numPr>
        <w:spacing w:after="120" w:line="240" w:lineRule="auto"/>
        <w:jc w:val="both"/>
        <w:rPr>
          <w:rFonts w:cs="Calibri"/>
          <w:b/>
          <w:bCs/>
        </w:rPr>
      </w:pPr>
      <w:r w:rsidRPr="005B6405">
        <w:rPr>
          <w:rFonts w:cs="Calibri"/>
          <w:b/>
          <w:bCs/>
        </w:rPr>
        <w:t xml:space="preserve">License Variation </w:t>
      </w:r>
    </w:p>
    <w:p w14:paraId="13665BAC" w14:textId="0BF55901"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 xml:space="preserve">An application for variation of a licence shall be submitted by the responsible </w:t>
      </w:r>
      <w:r w:rsidR="00BA6DCF" w:rsidRPr="0028248B">
        <w:rPr>
          <w:rFonts w:cs="Calibri"/>
          <w:sz w:val="22"/>
          <w:szCs w:val="22"/>
        </w:rPr>
        <w:t>P</w:t>
      </w:r>
      <w:r w:rsidRPr="0028248B">
        <w:rPr>
          <w:rFonts w:cs="Calibri"/>
          <w:sz w:val="22"/>
          <w:szCs w:val="22"/>
        </w:rPr>
        <w:t>harmacist to the Authority requesting the approved changes to the existing licence.</w:t>
      </w:r>
    </w:p>
    <w:p w14:paraId="58D79386" w14:textId="77777777"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Where a licence has less than three (3) months remaining validity, a variation application shall not be accepted. In such cases, the applicant shall instead submit a renewal application.</w:t>
      </w:r>
    </w:p>
    <w:p w14:paraId="614364CD" w14:textId="77777777"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Variations shall be classified as either minor or major, as follows:</w:t>
      </w:r>
    </w:p>
    <w:p w14:paraId="717F069A" w14:textId="5E643FEC" w:rsidR="00DF410E" w:rsidRPr="0028248B" w:rsidRDefault="00DF410E" w:rsidP="004A7F47">
      <w:pPr>
        <w:numPr>
          <w:ilvl w:val="0"/>
          <w:numId w:val="19"/>
        </w:numPr>
        <w:spacing w:after="0" w:line="240" w:lineRule="auto"/>
        <w:contextualSpacing/>
        <w:rPr>
          <w:rFonts w:cs="Calibri"/>
          <w:sz w:val="22"/>
          <w:szCs w:val="22"/>
        </w:rPr>
      </w:pPr>
      <w:r w:rsidRPr="0028248B">
        <w:rPr>
          <w:rFonts w:cs="Calibri"/>
          <w:b/>
          <w:sz w:val="22"/>
          <w:szCs w:val="22"/>
        </w:rPr>
        <w:t>Minor variation</w:t>
      </w:r>
      <w:r w:rsidRPr="0028248B">
        <w:rPr>
          <w:rFonts w:cs="Calibri"/>
          <w:sz w:val="22"/>
          <w:szCs w:val="22"/>
        </w:rPr>
        <w:t xml:space="preserve"> </w:t>
      </w:r>
      <w:r w:rsidR="00BA6DCF" w:rsidRPr="0028248B">
        <w:rPr>
          <w:rFonts w:cs="Calibri"/>
          <w:sz w:val="22"/>
          <w:szCs w:val="22"/>
        </w:rPr>
        <w:t>-</w:t>
      </w:r>
      <w:r w:rsidRPr="0028248B">
        <w:rPr>
          <w:rFonts w:cs="Calibri"/>
          <w:sz w:val="22"/>
          <w:szCs w:val="22"/>
        </w:rPr>
        <w:t xml:space="preserve"> a change that has no significant effect on the safety, efficacy, quality of medicinal products, regulatory risk profile, or scope of licensed activities; or</w:t>
      </w:r>
    </w:p>
    <w:p w14:paraId="312D44FF" w14:textId="46F5224A" w:rsidR="00DF410E" w:rsidRPr="0028248B" w:rsidRDefault="00DF410E" w:rsidP="004A7F47">
      <w:pPr>
        <w:numPr>
          <w:ilvl w:val="0"/>
          <w:numId w:val="19"/>
        </w:numPr>
        <w:spacing w:after="0" w:line="240" w:lineRule="auto"/>
        <w:contextualSpacing/>
        <w:rPr>
          <w:rFonts w:cs="Calibri"/>
          <w:sz w:val="22"/>
          <w:szCs w:val="22"/>
        </w:rPr>
      </w:pPr>
      <w:r w:rsidRPr="0028248B">
        <w:rPr>
          <w:rFonts w:cs="Calibri"/>
          <w:b/>
          <w:sz w:val="22"/>
          <w:szCs w:val="22"/>
        </w:rPr>
        <w:t>Major variation</w:t>
      </w:r>
      <w:r w:rsidRPr="0028248B">
        <w:rPr>
          <w:rFonts w:cs="Calibri"/>
          <w:sz w:val="22"/>
          <w:szCs w:val="22"/>
        </w:rPr>
        <w:t xml:space="preserve"> </w:t>
      </w:r>
      <w:r w:rsidR="00BA6DCF" w:rsidRPr="0028248B">
        <w:rPr>
          <w:rFonts w:cs="Calibri"/>
          <w:sz w:val="22"/>
          <w:szCs w:val="22"/>
        </w:rPr>
        <w:t>-</w:t>
      </w:r>
      <w:r w:rsidRPr="0028248B">
        <w:rPr>
          <w:rFonts w:cs="Calibri"/>
          <w:sz w:val="22"/>
          <w:szCs w:val="22"/>
        </w:rPr>
        <w:t xml:space="preserve"> a change that has a significant effect on the safety, efficacy, or quality of medicinal products, or that materially affects the regulatory risk profile, scope, or nature of licensed activities.</w:t>
      </w:r>
    </w:p>
    <w:p w14:paraId="30BCB8A3" w14:textId="77777777"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Minor variations include, but are not limited to:</w:t>
      </w:r>
    </w:p>
    <w:p w14:paraId="5304226D" w14:textId="77777777" w:rsidR="00DF410E" w:rsidRPr="0028248B" w:rsidRDefault="00DF410E" w:rsidP="004A7F47">
      <w:pPr>
        <w:numPr>
          <w:ilvl w:val="0"/>
          <w:numId w:val="20"/>
        </w:numPr>
        <w:spacing w:after="0" w:line="240" w:lineRule="auto"/>
        <w:contextualSpacing/>
        <w:rPr>
          <w:rFonts w:cs="Calibri"/>
          <w:sz w:val="22"/>
          <w:szCs w:val="22"/>
        </w:rPr>
      </w:pPr>
      <w:r w:rsidRPr="0028248B">
        <w:rPr>
          <w:rFonts w:cs="Calibri"/>
          <w:sz w:val="22"/>
          <w:szCs w:val="22"/>
        </w:rPr>
        <w:t xml:space="preserve">administrative changes, including change of business name or contact </w:t>
      </w:r>
      <w:proofErr w:type="gramStart"/>
      <w:r w:rsidRPr="0028248B">
        <w:rPr>
          <w:rFonts w:cs="Calibri"/>
          <w:sz w:val="22"/>
          <w:szCs w:val="22"/>
        </w:rPr>
        <w:t>details;</w:t>
      </w:r>
      <w:proofErr w:type="gramEnd"/>
    </w:p>
    <w:p w14:paraId="60A987F0" w14:textId="77777777" w:rsidR="00DF410E" w:rsidRPr="0028248B" w:rsidRDefault="00DF410E" w:rsidP="004A7F47">
      <w:pPr>
        <w:numPr>
          <w:ilvl w:val="0"/>
          <w:numId w:val="20"/>
        </w:numPr>
        <w:spacing w:after="0" w:line="240" w:lineRule="auto"/>
        <w:contextualSpacing/>
        <w:rPr>
          <w:rFonts w:cs="Calibri"/>
          <w:sz w:val="22"/>
          <w:szCs w:val="22"/>
        </w:rPr>
      </w:pPr>
      <w:r w:rsidRPr="0028248B">
        <w:rPr>
          <w:rFonts w:cs="Calibri"/>
          <w:sz w:val="22"/>
          <w:szCs w:val="22"/>
        </w:rPr>
        <w:t>replacement of key personnel with equivalently qualified individuals; or</w:t>
      </w:r>
    </w:p>
    <w:p w14:paraId="62D0E1F2" w14:textId="77777777" w:rsidR="00DF410E" w:rsidRPr="0028248B" w:rsidRDefault="00DF410E" w:rsidP="004A7F47">
      <w:pPr>
        <w:numPr>
          <w:ilvl w:val="0"/>
          <w:numId w:val="20"/>
        </w:numPr>
        <w:spacing w:after="0" w:line="240" w:lineRule="auto"/>
        <w:contextualSpacing/>
        <w:rPr>
          <w:rFonts w:cs="Calibri"/>
          <w:sz w:val="22"/>
          <w:szCs w:val="22"/>
        </w:rPr>
      </w:pPr>
      <w:r w:rsidRPr="0028248B">
        <w:rPr>
          <w:rFonts w:cs="Calibri"/>
          <w:sz w:val="22"/>
          <w:szCs w:val="22"/>
        </w:rPr>
        <w:t>minor premises layout changes that do not affect storage conditions, product flow, or compliance status.</w:t>
      </w:r>
    </w:p>
    <w:p w14:paraId="0278E001" w14:textId="77777777"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Major variations include, but are not limited to:</w:t>
      </w:r>
    </w:p>
    <w:p w14:paraId="723626BB" w14:textId="77777777" w:rsidR="00DF410E" w:rsidRPr="0028248B" w:rsidRDefault="00DF410E" w:rsidP="004A7F47">
      <w:pPr>
        <w:numPr>
          <w:ilvl w:val="0"/>
          <w:numId w:val="21"/>
        </w:numPr>
        <w:spacing w:after="0" w:line="240" w:lineRule="auto"/>
        <w:contextualSpacing/>
        <w:rPr>
          <w:rFonts w:cs="Calibri"/>
          <w:sz w:val="22"/>
          <w:szCs w:val="22"/>
        </w:rPr>
      </w:pPr>
      <w:r w:rsidRPr="0028248B">
        <w:rPr>
          <w:rFonts w:cs="Calibri"/>
          <w:sz w:val="22"/>
          <w:szCs w:val="22"/>
        </w:rPr>
        <w:t xml:space="preserve">change of premises location or significant structural modification of licensed </w:t>
      </w:r>
      <w:proofErr w:type="gramStart"/>
      <w:r w:rsidRPr="0028248B">
        <w:rPr>
          <w:rFonts w:cs="Calibri"/>
          <w:sz w:val="22"/>
          <w:szCs w:val="22"/>
        </w:rPr>
        <w:t>premises;</w:t>
      </w:r>
      <w:proofErr w:type="gramEnd"/>
    </w:p>
    <w:p w14:paraId="2278BFC3" w14:textId="77777777" w:rsidR="00DF410E" w:rsidRPr="0028248B" w:rsidRDefault="00DF410E" w:rsidP="004A7F47">
      <w:pPr>
        <w:numPr>
          <w:ilvl w:val="0"/>
          <w:numId w:val="21"/>
        </w:numPr>
        <w:spacing w:after="0" w:line="240" w:lineRule="auto"/>
        <w:contextualSpacing/>
        <w:rPr>
          <w:rFonts w:cs="Calibri"/>
          <w:sz w:val="22"/>
          <w:szCs w:val="22"/>
        </w:rPr>
      </w:pPr>
      <w:r w:rsidRPr="0028248B">
        <w:rPr>
          <w:rFonts w:cs="Calibri"/>
          <w:sz w:val="22"/>
          <w:szCs w:val="22"/>
        </w:rPr>
        <w:t xml:space="preserve">change of </w:t>
      </w:r>
      <w:proofErr w:type="gramStart"/>
      <w:r w:rsidRPr="0028248B">
        <w:rPr>
          <w:rFonts w:cs="Calibri"/>
          <w:sz w:val="22"/>
          <w:szCs w:val="22"/>
        </w:rPr>
        <w:t>ownership;</w:t>
      </w:r>
      <w:proofErr w:type="gramEnd"/>
    </w:p>
    <w:p w14:paraId="0D614E92" w14:textId="77777777" w:rsidR="00DF410E" w:rsidRPr="0028248B" w:rsidRDefault="00DF410E" w:rsidP="004A7F47">
      <w:pPr>
        <w:numPr>
          <w:ilvl w:val="0"/>
          <w:numId w:val="21"/>
        </w:numPr>
        <w:spacing w:after="0" w:line="240" w:lineRule="auto"/>
        <w:contextualSpacing/>
        <w:rPr>
          <w:rFonts w:cs="Calibri"/>
          <w:sz w:val="22"/>
          <w:szCs w:val="22"/>
        </w:rPr>
      </w:pPr>
      <w:r w:rsidRPr="0028248B">
        <w:rPr>
          <w:rFonts w:cs="Calibri"/>
          <w:sz w:val="22"/>
          <w:szCs w:val="22"/>
        </w:rPr>
        <w:t xml:space="preserve">change or extension of the scope of licensed activities or product categories </w:t>
      </w:r>
      <w:proofErr w:type="gramStart"/>
      <w:r w:rsidRPr="0028248B">
        <w:rPr>
          <w:rFonts w:cs="Calibri"/>
          <w:sz w:val="22"/>
          <w:szCs w:val="22"/>
        </w:rPr>
        <w:t>handled;</w:t>
      </w:r>
      <w:proofErr w:type="gramEnd"/>
    </w:p>
    <w:p w14:paraId="690FE964" w14:textId="77777777" w:rsidR="00DF410E" w:rsidRPr="0028248B" w:rsidRDefault="00DF410E" w:rsidP="004A7F47">
      <w:pPr>
        <w:numPr>
          <w:ilvl w:val="0"/>
          <w:numId w:val="21"/>
        </w:numPr>
        <w:spacing w:after="0" w:line="240" w:lineRule="auto"/>
        <w:contextualSpacing/>
        <w:rPr>
          <w:rFonts w:cs="Calibri"/>
          <w:sz w:val="22"/>
          <w:szCs w:val="22"/>
        </w:rPr>
      </w:pPr>
      <w:r w:rsidRPr="0028248B">
        <w:rPr>
          <w:rFonts w:cs="Calibri"/>
          <w:sz w:val="22"/>
          <w:szCs w:val="22"/>
        </w:rPr>
        <w:t>introduction of new systems or technologies with potential regulatory impact; or</w:t>
      </w:r>
    </w:p>
    <w:p w14:paraId="22797D91" w14:textId="77777777" w:rsidR="00DF410E" w:rsidRPr="0028248B" w:rsidRDefault="00DF410E" w:rsidP="004A7F47">
      <w:pPr>
        <w:numPr>
          <w:ilvl w:val="0"/>
          <w:numId w:val="21"/>
        </w:numPr>
        <w:spacing w:after="0" w:line="240" w:lineRule="auto"/>
        <w:contextualSpacing/>
        <w:rPr>
          <w:rFonts w:cs="Calibri"/>
          <w:sz w:val="22"/>
          <w:szCs w:val="22"/>
        </w:rPr>
      </w:pPr>
      <w:r w:rsidRPr="0028248B">
        <w:rPr>
          <w:rFonts w:cs="Calibri"/>
          <w:sz w:val="22"/>
          <w:szCs w:val="22"/>
        </w:rPr>
        <w:t>any other change that increases regulatory risk or requires inspection or on-site verification by the Authority.</w:t>
      </w:r>
    </w:p>
    <w:p w14:paraId="29D2EE28" w14:textId="11E68C09"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 xml:space="preserve">An application for variation shall be submitted through the BRIMS portal at </w:t>
      </w:r>
      <w:hyperlink r:id="rId20" w:history="1">
        <w:r w:rsidRPr="0028248B">
          <w:rPr>
            <w:rFonts w:cs="Calibri"/>
            <w:color w:val="0563C1"/>
            <w:sz w:val="22"/>
            <w:szCs w:val="22"/>
            <w:u w:val="single"/>
          </w:rPr>
          <w:t>https://brims.bomra.co.bw/</w:t>
        </w:r>
      </w:hyperlink>
      <w:r w:rsidRPr="0028248B">
        <w:rPr>
          <w:rFonts w:cs="Calibri"/>
          <w:sz w:val="22"/>
          <w:szCs w:val="22"/>
        </w:rPr>
        <w:t>, accompanied by:</w:t>
      </w:r>
    </w:p>
    <w:p w14:paraId="1C073D24" w14:textId="77777777" w:rsidR="00DF410E" w:rsidRPr="0028248B" w:rsidRDefault="00DF410E" w:rsidP="004A7F47">
      <w:pPr>
        <w:numPr>
          <w:ilvl w:val="0"/>
          <w:numId w:val="22"/>
        </w:numPr>
        <w:spacing w:after="0" w:line="240" w:lineRule="auto"/>
        <w:contextualSpacing/>
        <w:rPr>
          <w:rFonts w:cs="Calibri"/>
          <w:sz w:val="22"/>
          <w:szCs w:val="22"/>
        </w:rPr>
      </w:pPr>
      <w:r w:rsidRPr="0028248B">
        <w:rPr>
          <w:rFonts w:cs="Calibri"/>
          <w:sz w:val="22"/>
          <w:szCs w:val="22"/>
        </w:rPr>
        <w:t>the prescribed variation fee, determined according to the classification of the variation as minor or major; and</w:t>
      </w:r>
    </w:p>
    <w:p w14:paraId="5CC141ED" w14:textId="77777777" w:rsidR="00DF410E" w:rsidRPr="0028248B" w:rsidRDefault="00DF410E" w:rsidP="004A7F47">
      <w:pPr>
        <w:numPr>
          <w:ilvl w:val="0"/>
          <w:numId w:val="22"/>
        </w:numPr>
        <w:spacing w:after="0" w:line="240" w:lineRule="auto"/>
        <w:contextualSpacing/>
        <w:rPr>
          <w:rFonts w:cs="Calibri"/>
          <w:sz w:val="22"/>
          <w:szCs w:val="22"/>
        </w:rPr>
      </w:pPr>
      <w:r w:rsidRPr="0028248B">
        <w:rPr>
          <w:rFonts w:cs="Calibri"/>
          <w:sz w:val="22"/>
          <w:szCs w:val="22"/>
        </w:rPr>
        <w:t>such supporting documentation and information as the Authority may require.</w:t>
      </w:r>
    </w:p>
    <w:p w14:paraId="7D0B159C" w14:textId="77777777"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The Authority reserves the right to reclassify a proposed minor variation as a major variation where, upon assessment, the change is determined to carry regulatory, public health, or animal health implications not apparent from the original submission.</w:t>
      </w:r>
    </w:p>
    <w:p w14:paraId="2D48ECD2" w14:textId="77777777" w:rsidR="00DF410E" w:rsidRPr="0028248B" w:rsidRDefault="00DF410E" w:rsidP="004A7F47">
      <w:pPr>
        <w:numPr>
          <w:ilvl w:val="2"/>
          <w:numId w:val="13"/>
        </w:numPr>
        <w:spacing w:after="0" w:line="240" w:lineRule="auto"/>
        <w:contextualSpacing/>
        <w:rPr>
          <w:rFonts w:cs="Calibri"/>
          <w:sz w:val="22"/>
          <w:szCs w:val="22"/>
        </w:rPr>
      </w:pPr>
      <w:r w:rsidRPr="0028248B">
        <w:rPr>
          <w:rFonts w:cs="Calibri"/>
          <w:sz w:val="22"/>
          <w:szCs w:val="22"/>
        </w:rPr>
        <w:t>A licensee shall not implement any proposed variation prior to receipt of approval from the Authority. Implementation of a variation without prior approval shall constitute a breach of licence conditions and may result in regulatory enforcement action.</w:t>
      </w:r>
    </w:p>
    <w:p w14:paraId="61B20489" w14:textId="77777777" w:rsidR="00DF410E" w:rsidRDefault="00DF410E" w:rsidP="00DF410E">
      <w:pPr>
        <w:spacing w:after="0"/>
        <w:ind w:left="1146"/>
        <w:contextualSpacing/>
        <w:rPr>
          <w:rFonts w:cs="Calibri"/>
          <w:sz w:val="22"/>
          <w:szCs w:val="22"/>
        </w:rPr>
      </w:pPr>
    </w:p>
    <w:p w14:paraId="091BFAAB" w14:textId="77777777" w:rsidR="006834A3" w:rsidRPr="0028248B" w:rsidRDefault="006834A3" w:rsidP="00DF410E">
      <w:pPr>
        <w:spacing w:after="0"/>
        <w:ind w:left="1146"/>
        <w:contextualSpacing/>
        <w:rPr>
          <w:rFonts w:cs="Calibri"/>
          <w:sz w:val="22"/>
          <w:szCs w:val="22"/>
        </w:rPr>
      </w:pPr>
    </w:p>
    <w:p w14:paraId="0564EA38" w14:textId="77777777" w:rsidR="00DF410E" w:rsidRPr="005B6405" w:rsidRDefault="00DF410E" w:rsidP="004A7F47">
      <w:pPr>
        <w:numPr>
          <w:ilvl w:val="1"/>
          <w:numId w:val="13"/>
        </w:numPr>
        <w:spacing w:after="120" w:line="240" w:lineRule="auto"/>
        <w:ind w:hanging="763"/>
        <w:jc w:val="both"/>
        <w:rPr>
          <w:rFonts w:cs="Calibri"/>
          <w:b/>
          <w:bCs/>
        </w:rPr>
      </w:pPr>
      <w:r w:rsidRPr="005B6405">
        <w:rPr>
          <w:rFonts w:cs="Calibri"/>
          <w:b/>
          <w:bCs/>
        </w:rPr>
        <w:lastRenderedPageBreak/>
        <w:t>Post- licensure notifications</w:t>
      </w:r>
    </w:p>
    <w:p w14:paraId="0B7A0FC8" w14:textId="77777777" w:rsidR="00DF410E" w:rsidRPr="0028248B" w:rsidRDefault="00DF410E" w:rsidP="00DF410E">
      <w:pPr>
        <w:spacing w:after="0" w:line="240" w:lineRule="auto"/>
        <w:ind w:left="643" w:hanging="643"/>
        <w:rPr>
          <w:rFonts w:eastAsia="Calibri" w:cs="Arial"/>
          <w:sz w:val="22"/>
          <w:szCs w:val="22"/>
        </w:rPr>
      </w:pPr>
      <w:r w:rsidRPr="0028248B">
        <w:rPr>
          <w:rFonts w:cs="Calibri"/>
          <w:sz w:val="22"/>
          <w:szCs w:val="22"/>
        </w:rPr>
        <w:t>5.6.1</w:t>
      </w:r>
      <w:r w:rsidRPr="0028248B">
        <w:rPr>
          <w:rFonts w:cs="Calibri"/>
          <w:b/>
          <w:bCs/>
          <w:sz w:val="22"/>
          <w:szCs w:val="22"/>
        </w:rPr>
        <w:t xml:space="preserve"> </w:t>
      </w:r>
      <w:r w:rsidRPr="0028248B">
        <w:rPr>
          <w:rFonts w:cs="Calibri"/>
          <w:b/>
          <w:bCs/>
          <w:sz w:val="22"/>
          <w:szCs w:val="22"/>
        </w:rPr>
        <w:tab/>
      </w:r>
      <w:r w:rsidRPr="0028248B">
        <w:rPr>
          <w:rFonts w:eastAsia="Calibri" w:cs="Arial"/>
          <w:sz w:val="22"/>
          <w:szCs w:val="22"/>
        </w:rPr>
        <w:t>The licensee shall notify the Authority promptly of any post-licence changes or events, including but not limited to:</w:t>
      </w:r>
    </w:p>
    <w:p w14:paraId="64BC304A" w14:textId="77777777" w:rsidR="00DF410E" w:rsidRPr="0028248B" w:rsidRDefault="00DF410E" w:rsidP="004A7F47">
      <w:pPr>
        <w:numPr>
          <w:ilvl w:val="1"/>
          <w:numId w:val="23"/>
        </w:numPr>
        <w:spacing w:after="0" w:line="240" w:lineRule="auto"/>
        <w:jc w:val="both"/>
        <w:rPr>
          <w:rFonts w:cs="Calibri"/>
          <w:sz w:val="22"/>
          <w:szCs w:val="22"/>
        </w:rPr>
      </w:pPr>
      <w:r w:rsidRPr="0028248B">
        <w:rPr>
          <w:rFonts w:cs="Calibri"/>
          <w:sz w:val="22"/>
          <w:szCs w:val="22"/>
        </w:rPr>
        <w:t xml:space="preserve">prolonged absence of the authorised person exceeding thirty (30) </w:t>
      </w:r>
      <w:proofErr w:type="gramStart"/>
      <w:r w:rsidRPr="0028248B">
        <w:rPr>
          <w:rFonts w:cs="Calibri"/>
          <w:sz w:val="22"/>
          <w:szCs w:val="22"/>
        </w:rPr>
        <w:t>days;</w:t>
      </w:r>
      <w:proofErr w:type="gramEnd"/>
    </w:p>
    <w:p w14:paraId="22956F69" w14:textId="5496DD5B" w:rsidR="00DF410E" w:rsidRPr="0028248B" w:rsidRDefault="00DF410E" w:rsidP="004A7F47">
      <w:pPr>
        <w:numPr>
          <w:ilvl w:val="1"/>
          <w:numId w:val="23"/>
        </w:numPr>
        <w:spacing w:after="0" w:line="240" w:lineRule="auto"/>
        <w:jc w:val="both"/>
        <w:rPr>
          <w:rFonts w:cs="Calibri"/>
          <w:sz w:val="22"/>
          <w:szCs w:val="22"/>
        </w:rPr>
      </w:pPr>
      <w:r w:rsidRPr="0028248B">
        <w:rPr>
          <w:rFonts w:cs="Calibri"/>
          <w:sz w:val="22"/>
          <w:szCs w:val="22"/>
        </w:rPr>
        <w:t xml:space="preserve">engagement of a locum </w:t>
      </w:r>
      <w:r w:rsidR="00BA6DCF" w:rsidRPr="0028248B">
        <w:rPr>
          <w:rFonts w:cs="Calibri"/>
          <w:sz w:val="22"/>
          <w:szCs w:val="22"/>
        </w:rPr>
        <w:t>P</w:t>
      </w:r>
      <w:r w:rsidRPr="0028248B">
        <w:rPr>
          <w:rFonts w:cs="Calibri"/>
          <w:sz w:val="22"/>
          <w:szCs w:val="22"/>
        </w:rPr>
        <w:t>harmacist</w:t>
      </w:r>
    </w:p>
    <w:p w14:paraId="59DFD188" w14:textId="77777777" w:rsidR="00DF410E" w:rsidRPr="0028248B" w:rsidRDefault="00DF410E" w:rsidP="004A7F47">
      <w:pPr>
        <w:numPr>
          <w:ilvl w:val="1"/>
          <w:numId w:val="23"/>
        </w:numPr>
        <w:spacing w:after="0" w:line="240" w:lineRule="auto"/>
        <w:jc w:val="both"/>
        <w:rPr>
          <w:rFonts w:cs="Calibri"/>
          <w:sz w:val="22"/>
          <w:szCs w:val="22"/>
        </w:rPr>
      </w:pPr>
      <w:r w:rsidRPr="0028248B">
        <w:rPr>
          <w:rFonts w:cs="Calibri"/>
          <w:sz w:val="22"/>
          <w:szCs w:val="22"/>
        </w:rPr>
        <w:t xml:space="preserve">temporary or permanent closure of the </w:t>
      </w:r>
      <w:proofErr w:type="gramStart"/>
      <w:r w:rsidRPr="0028248B">
        <w:rPr>
          <w:rFonts w:cs="Calibri"/>
          <w:sz w:val="22"/>
          <w:szCs w:val="22"/>
        </w:rPr>
        <w:t>facility;</w:t>
      </w:r>
      <w:proofErr w:type="gramEnd"/>
    </w:p>
    <w:p w14:paraId="7A7625B2" w14:textId="77777777" w:rsidR="00DF410E" w:rsidRPr="0028248B" w:rsidRDefault="00DF410E" w:rsidP="004A7F47">
      <w:pPr>
        <w:numPr>
          <w:ilvl w:val="1"/>
          <w:numId w:val="23"/>
        </w:numPr>
        <w:spacing w:after="0" w:line="240" w:lineRule="auto"/>
        <w:jc w:val="both"/>
        <w:rPr>
          <w:rFonts w:cs="Calibri"/>
          <w:sz w:val="22"/>
          <w:szCs w:val="22"/>
        </w:rPr>
      </w:pPr>
      <w:r w:rsidRPr="0028248B">
        <w:rPr>
          <w:rFonts w:cs="Calibri"/>
          <w:sz w:val="22"/>
          <w:szCs w:val="22"/>
        </w:rPr>
        <w:t>resignation or departure of the authorised person; or</w:t>
      </w:r>
    </w:p>
    <w:p w14:paraId="21910EF5" w14:textId="77777777" w:rsidR="00DF410E" w:rsidRPr="0028248B" w:rsidRDefault="00DF410E" w:rsidP="004A7F47">
      <w:pPr>
        <w:numPr>
          <w:ilvl w:val="1"/>
          <w:numId w:val="23"/>
        </w:numPr>
        <w:spacing w:after="0" w:line="240" w:lineRule="auto"/>
        <w:jc w:val="both"/>
        <w:rPr>
          <w:rFonts w:cs="Calibri"/>
          <w:sz w:val="22"/>
          <w:szCs w:val="22"/>
        </w:rPr>
      </w:pPr>
      <w:r w:rsidRPr="0028248B">
        <w:rPr>
          <w:rFonts w:cs="Calibri"/>
          <w:sz w:val="22"/>
          <w:szCs w:val="22"/>
        </w:rPr>
        <w:t>any other change that may affect the compliance status or operational capacity of the licensed facility.</w:t>
      </w:r>
    </w:p>
    <w:p w14:paraId="54F7990E" w14:textId="3AB6CCB7" w:rsidR="00DF410E" w:rsidRPr="0028248B" w:rsidRDefault="00DF410E" w:rsidP="004A7F47">
      <w:pPr>
        <w:numPr>
          <w:ilvl w:val="2"/>
          <w:numId w:val="24"/>
        </w:numPr>
        <w:spacing w:after="120" w:line="240" w:lineRule="auto"/>
        <w:contextualSpacing/>
        <w:jc w:val="both"/>
        <w:rPr>
          <w:rFonts w:cs="Calibri"/>
          <w:sz w:val="22"/>
          <w:szCs w:val="22"/>
        </w:rPr>
      </w:pPr>
      <w:r w:rsidRPr="0028248B">
        <w:rPr>
          <w:rFonts w:cs="Calibri"/>
          <w:sz w:val="22"/>
          <w:szCs w:val="22"/>
        </w:rPr>
        <w:t xml:space="preserve">Where more than one </w:t>
      </w:r>
      <w:r w:rsidR="00BA6DCF" w:rsidRPr="0028248B">
        <w:rPr>
          <w:rFonts w:cs="Calibri"/>
          <w:sz w:val="22"/>
          <w:szCs w:val="22"/>
        </w:rPr>
        <w:t>P</w:t>
      </w:r>
      <w:r w:rsidRPr="0028248B">
        <w:rPr>
          <w:rFonts w:cs="Calibri"/>
          <w:sz w:val="22"/>
          <w:szCs w:val="22"/>
        </w:rPr>
        <w:t xml:space="preserve">harmacist is employed at the licensed </w:t>
      </w:r>
      <w:r w:rsidR="0026383F" w:rsidRPr="0028248B">
        <w:rPr>
          <w:rFonts w:cs="Calibri"/>
          <w:sz w:val="22"/>
          <w:szCs w:val="22"/>
        </w:rPr>
        <w:t>Pharmacy</w:t>
      </w:r>
      <w:r w:rsidRPr="0028248B">
        <w:rPr>
          <w:rFonts w:cs="Calibri"/>
          <w:sz w:val="22"/>
          <w:szCs w:val="22"/>
        </w:rPr>
        <w:t>, the authorised person shall notify the Authority accordingly and submit proof of current registration with the relevant professional regulatory body for each such person.</w:t>
      </w:r>
    </w:p>
    <w:p w14:paraId="39B795F0" w14:textId="77777777" w:rsidR="00DF410E" w:rsidRPr="0028248B" w:rsidRDefault="00DF410E" w:rsidP="004A7F47">
      <w:pPr>
        <w:numPr>
          <w:ilvl w:val="2"/>
          <w:numId w:val="24"/>
        </w:numPr>
        <w:spacing w:after="120" w:line="240" w:lineRule="auto"/>
        <w:contextualSpacing/>
        <w:jc w:val="both"/>
        <w:rPr>
          <w:rFonts w:cs="Calibri"/>
          <w:sz w:val="22"/>
          <w:szCs w:val="22"/>
        </w:rPr>
      </w:pPr>
      <w:r w:rsidRPr="0028248B">
        <w:rPr>
          <w:rFonts w:cs="Calibri"/>
          <w:sz w:val="22"/>
          <w:szCs w:val="22"/>
        </w:rPr>
        <w:t>Any change of the authorised person responsible for the licensed facility shall be communicated to the Authority in writing within thirty (30) working days of the change taking effect. The notification shall be accompanied by the credentials and proof of registration of the incoming authorised person.</w:t>
      </w:r>
    </w:p>
    <w:p w14:paraId="7FFC66AA" w14:textId="77777777" w:rsidR="00E45981" w:rsidRPr="0028248B" w:rsidRDefault="00E45981" w:rsidP="00EB6F4A">
      <w:pPr>
        <w:spacing w:after="120" w:line="240" w:lineRule="auto"/>
        <w:ind w:left="720"/>
        <w:contextualSpacing/>
        <w:jc w:val="both"/>
        <w:rPr>
          <w:rFonts w:cs="Calibri"/>
          <w:sz w:val="22"/>
          <w:szCs w:val="22"/>
        </w:rPr>
      </w:pPr>
    </w:p>
    <w:p w14:paraId="52FFE896" w14:textId="11D86E76" w:rsidR="00DF410E" w:rsidRPr="0028248B" w:rsidRDefault="00DF410E" w:rsidP="004A7F47">
      <w:pPr>
        <w:numPr>
          <w:ilvl w:val="1"/>
          <w:numId w:val="24"/>
        </w:numPr>
        <w:spacing w:after="120" w:line="240" w:lineRule="auto"/>
        <w:jc w:val="both"/>
        <w:rPr>
          <w:rFonts w:cs="Calibri"/>
        </w:rPr>
      </w:pPr>
      <w:r w:rsidRPr="0028248B">
        <w:rPr>
          <w:rFonts w:cs="Calibri"/>
          <w:b/>
        </w:rPr>
        <w:t xml:space="preserve">Variation of Licence </w:t>
      </w:r>
      <w:r w:rsidR="00BA6DCF" w:rsidRPr="0028248B">
        <w:rPr>
          <w:rFonts w:cs="Calibri"/>
          <w:b/>
        </w:rPr>
        <w:t>-</w:t>
      </w:r>
      <w:r w:rsidRPr="0028248B">
        <w:rPr>
          <w:rFonts w:cs="Calibri"/>
          <w:b/>
        </w:rPr>
        <w:t xml:space="preserve"> Change of Personnel</w:t>
      </w:r>
    </w:p>
    <w:p w14:paraId="3E8A9883" w14:textId="3A72B0BA" w:rsidR="00DF410E" w:rsidRPr="0028248B" w:rsidRDefault="00DF410E" w:rsidP="004A7F47">
      <w:pPr>
        <w:numPr>
          <w:ilvl w:val="2"/>
          <w:numId w:val="25"/>
        </w:numPr>
        <w:spacing w:after="120" w:line="240" w:lineRule="auto"/>
        <w:contextualSpacing/>
        <w:jc w:val="both"/>
        <w:rPr>
          <w:rFonts w:cs="Calibri"/>
          <w:sz w:val="22"/>
          <w:szCs w:val="22"/>
        </w:rPr>
      </w:pPr>
      <w:r w:rsidRPr="0028248B">
        <w:rPr>
          <w:rFonts w:cs="Calibri"/>
          <w:sz w:val="22"/>
          <w:szCs w:val="22"/>
        </w:rPr>
        <w:t>Where a change of the authorised person constitutes a material change to the licence, the licensee shall submit a formal application for variation of licence</w:t>
      </w:r>
      <w:r w:rsidR="00646163" w:rsidRPr="0028248B">
        <w:rPr>
          <w:rFonts w:cs="Calibri"/>
          <w:sz w:val="22"/>
          <w:szCs w:val="22"/>
        </w:rPr>
        <w:t xml:space="preserve">, </w:t>
      </w:r>
      <w:proofErr w:type="gramStart"/>
      <w:r w:rsidRPr="0028248B">
        <w:rPr>
          <w:rFonts w:cs="Calibri"/>
          <w:sz w:val="22"/>
          <w:szCs w:val="22"/>
        </w:rPr>
        <w:t>Such</w:t>
      </w:r>
      <w:proofErr w:type="gramEnd"/>
      <w:r w:rsidRPr="0028248B">
        <w:rPr>
          <w:rFonts w:cs="Calibri"/>
          <w:sz w:val="22"/>
          <w:szCs w:val="22"/>
        </w:rPr>
        <w:t xml:space="preserve"> an application shall be required where:</w:t>
      </w:r>
    </w:p>
    <w:p w14:paraId="6609A125" w14:textId="5CF2A8F5" w:rsidR="00DF410E" w:rsidRPr="0028248B" w:rsidRDefault="00DF410E" w:rsidP="004A7F47">
      <w:pPr>
        <w:numPr>
          <w:ilvl w:val="0"/>
          <w:numId w:val="26"/>
        </w:numPr>
        <w:spacing w:after="120" w:line="240" w:lineRule="auto"/>
        <w:contextualSpacing/>
        <w:jc w:val="both"/>
        <w:rPr>
          <w:rFonts w:cs="Calibri"/>
          <w:sz w:val="22"/>
          <w:szCs w:val="22"/>
        </w:rPr>
      </w:pPr>
      <w:r w:rsidRPr="0028248B">
        <w:rPr>
          <w:rFonts w:cs="Calibri"/>
          <w:sz w:val="22"/>
          <w:szCs w:val="22"/>
        </w:rPr>
        <w:t xml:space="preserve">the change involves a difference in professional qualification or scope of practice that may affect the categories of products authorised for </w:t>
      </w:r>
      <w:r w:rsidR="00D56D60" w:rsidRPr="0028248B">
        <w:rPr>
          <w:rFonts w:cs="Calibri"/>
          <w:sz w:val="22"/>
          <w:szCs w:val="22"/>
        </w:rPr>
        <w:t>sale</w:t>
      </w:r>
      <w:r w:rsidRPr="0028248B">
        <w:rPr>
          <w:rFonts w:cs="Calibri"/>
          <w:sz w:val="22"/>
          <w:szCs w:val="22"/>
        </w:rPr>
        <w:t>; or</w:t>
      </w:r>
    </w:p>
    <w:p w14:paraId="1A77F431" w14:textId="77777777" w:rsidR="00DF410E" w:rsidRPr="0028248B" w:rsidRDefault="00DF410E" w:rsidP="004A7F47">
      <w:pPr>
        <w:numPr>
          <w:ilvl w:val="0"/>
          <w:numId w:val="26"/>
        </w:numPr>
        <w:spacing w:after="120" w:line="240" w:lineRule="auto"/>
        <w:contextualSpacing/>
        <w:jc w:val="both"/>
        <w:rPr>
          <w:rFonts w:cs="Calibri"/>
          <w:sz w:val="22"/>
          <w:szCs w:val="22"/>
        </w:rPr>
      </w:pPr>
      <w:r w:rsidRPr="0028248B">
        <w:rPr>
          <w:rFonts w:cs="Calibri"/>
          <w:sz w:val="22"/>
          <w:szCs w:val="22"/>
        </w:rPr>
        <w:t>the Authority determines, upon assessment of the notification, that the change warrants formal regulatory review and licence amendment.</w:t>
      </w:r>
    </w:p>
    <w:p w14:paraId="06DFB6EC" w14:textId="541E99F8" w:rsidR="00DF410E" w:rsidRPr="0028248B" w:rsidRDefault="00DF410E" w:rsidP="004A7F47">
      <w:pPr>
        <w:numPr>
          <w:ilvl w:val="2"/>
          <w:numId w:val="25"/>
        </w:numPr>
        <w:spacing w:after="0" w:line="240" w:lineRule="auto"/>
        <w:contextualSpacing/>
        <w:rPr>
          <w:rFonts w:cs="Calibri"/>
          <w:sz w:val="22"/>
          <w:szCs w:val="22"/>
        </w:rPr>
      </w:pPr>
      <w:r w:rsidRPr="0028248B">
        <w:rPr>
          <w:rFonts w:cs="Calibri"/>
          <w:sz w:val="22"/>
          <w:szCs w:val="22"/>
        </w:rPr>
        <w:t xml:space="preserve">The licensee shall ensure that a suitably qualified and registered authorised person </w:t>
      </w:r>
      <w:proofErr w:type="gramStart"/>
      <w:r w:rsidRPr="0028248B">
        <w:rPr>
          <w:rFonts w:cs="Calibri"/>
          <w:sz w:val="22"/>
          <w:szCs w:val="22"/>
        </w:rPr>
        <w:t>is in place and responsible for the facility at all times</w:t>
      </w:r>
      <w:proofErr w:type="gramEnd"/>
      <w:r w:rsidRPr="0028248B">
        <w:rPr>
          <w:rFonts w:cs="Calibri"/>
          <w:sz w:val="22"/>
          <w:szCs w:val="22"/>
        </w:rPr>
        <w:t xml:space="preserve">. Operation of a licensed </w:t>
      </w:r>
      <w:r w:rsidR="0026383F" w:rsidRPr="0028248B">
        <w:rPr>
          <w:rFonts w:cs="Calibri"/>
          <w:sz w:val="22"/>
          <w:szCs w:val="22"/>
        </w:rPr>
        <w:t>Pharmacy</w:t>
      </w:r>
      <w:r w:rsidRPr="0028248B">
        <w:rPr>
          <w:rFonts w:cs="Calibri"/>
          <w:sz w:val="22"/>
          <w:szCs w:val="22"/>
        </w:rPr>
        <w:t xml:space="preserve"> without a designated authorised person, beyond the period permitted (30) thirty calendar days shall constitute a breach of licence conditions and may result in suspension of the licence.</w:t>
      </w:r>
    </w:p>
    <w:p w14:paraId="4F793B46" w14:textId="77777777" w:rsidR="00DF410E" w:rsidRPr="0028248B" w:rsidRDefault="00DF410E" w:rsidP="004A7F47">
      <w:pPr>
        <w:numPr>
          <w:ilvl w:val="2"/>
          <w:numId w:val="25"/>
        </w:numPr>
        <w:spacing w:after="0" w:line="240" w:lineRule="auto"/>
        <w:contextualSpacing/>
        <w:rPr>
          <w:rFonts w:eastAsia="Calibri" w:cs="Arial"/>
          <w:sz w:val="22"/>
          <w:szCs w:val="22"/>
        </w:rPr>
      </w:pPr>
      <w:r w:rsidRPr="0028248B">
        <w:rPr>
          <w:rFonts w:eastAsia="Calibri" w:cs="Arial"/>
          <w:sz w:val="22"/>
          <w:szCs w:val="22"/>
        </w:rPr>
        <w:t xml:space="preserve">All notifications required under this section shall be submitted through the BRIMS portal at </w:t>
      </w:r>
      <w:hyperlink r:id="rId21" w:history="1">
        <w:r w:rsidRPr="0028248B">
          <w:rPr>
            <w:rFonts w:cs="Calibri"/>
            <w:color w:val="0563C1"/>
            <w:sz w:val="22"/>
            <w:szCs w:val="22"/>
            <w:u w:val="single"/>
          </w:rPr>
          <w:t>https://brims.bomra.co.bw/</w:t>
        </w:r>
      </w:hyperlink>
      <w:r w:rsidRPr="0028248B">
        <w:rPr>
          <w:rFonts w:eastAsia="Calibri" w:cs="Arial"/>
          <w:sz w:val="22"/>
          <w:szCs w:val="22"/>
        </w:rPr>
        <w:t xml:space="preserve"> and shall include such supporting documentation as the Authority may require.</w:t>
      </w:r>
    </w:p>
    <w:p w14:paraId="68D84859" w14:textId="37126083" w:rsidR="00B50F6E" w:rsidRPr="0028248B" w:rsidRDefault="00B50F6E" w:rsidP="004A7F47">
      <w:pPr>
        <w:pStyle w:val="ListParagraph"/>
        <w:numPr>
          <w:ilvl w:val="2"/>
          <w:numId w:val="25"/>
        </w:numPr>
        <w:rPr>
          <w:rFonts w:eastAsia="Calibri" w:cs="Arial"/>
          <w:sz w:val="22"/>
          <w:szCs w:val="22"/>
        </w:rPr>
      </w:pPr>
      <w:r w:rsidRPr="0028248B">
        <w:rPr>
          <w:rFonts w:eastAsia="Calibri" w:cs="Arial"/>
          <w:sz w:val="22"/>
          <w:szCs w:val="22"/>
        </w:rPr>
        <w:t>Any Change with the responsible Pharmacist shall be communicated to the Authority within 30 Days</w:t>
      </w:r>
      <w:r w:rsidR="003456F2" w:rsidRPr="0028248B">
        <w:rPr>
          <w:rFonts w:eastAsia="Calibri" w:cs="Arial"/>
          <w:sz w:val="22"/>
          <w:szCs w:val="22"/>
        </w:rPr>
        <w:t>.</w:t>
      </w:r>
      <w:r w:rsidRPr="0028248B">
        <w:rPr>
          <w:rFonts w:eastAsia="Calibri" w:cs="Arial"/>
          <w:sz w:val="22"/>
          <w:szCs w:val="22"/>
        </w:rPr>
        <w:t xml:space="preserve"> The Pharmacy may not be under the continuous supervision of locum pharmacist or a pharmacist without a Private Practice License for a period exceeding thirty (30) Days.</w:t>
      </w:r>
    </w:p>
    <w:p w14:paraId="78E3C777" w14:textId="77777777" w:rsidR="00DF410E" w:rsidRPr="0028248B" w:rsidRDefault="00DF410E" w:rsidP="00DF410E">
      <w:pPr>
        <w:spacing w:after="0" w:line="240" w:lineRule="auto"/>
        <w:ind w:left="720"/>
        <w:contextualSpacing/>
        <w:rPr>
          <w:rFonts w:eastAsia="Calibri" w:cs="Arial"/>
          <w:sz w:val="22"/>
          <w:szCs w:val="22"/>
        </w:rPr>
      </w:pPr>
    </w:p>
    <w:p w14:paraId="556814AB" w14:textId="77777777" w:rsidR="00DF410E" w:rsidRPr="005B6405" w:rsidRDefault="00DF410E" w:rsidP="004A7F47">
      <w:pPr>
        <w:keepNext/>
        <w:keepLines/>
        <w:numPr>
          <w:ilvl w:val="0"/>
          <w:numId w:val="25"/>
        </w:numPr>
        <w:spacing w:after="120" w:line="240" w:lineRule="auto"/>
        <w:jc w:val="both"/>
        <w:outlineLvl w:val="0"/>
        <w:rPr>
          <w:rFonts w:eastAsiaTheme="majorEastAsia" w:cstheme="majorBidi"/>
          <w:b/>
        </w:rPr>
      </w:pPr>
      <w:bookmarkStart w:id="31" w:name="_Toc226717483"/>
      <w:bookmarkStart w:id="32" w:name="_Toc227072331"/>
      <w:r w:rsidRPr="005B6405">
        <w:rPr>
          <w:rFonts w:eastAsiaTheme="majorEastAsia" w:cstheme="majorBidi"/>
          <w:b/>
        </w:rPr>
        <w:t>Suspension and Withdrawal</w:t>
      </w:r>
      <w:bookmarkEnd w:id="31"/>
      <w:bookmarkEnd w:id="32"/>
    </w:p>
    <w:p w14:paraId="14EDC874"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Where a licence holder fails to meet the required standards and guidelines, the Authority may suspend or withdraw the licence in accordance with the Medicines and Related Substances Regulations (MRSR) 2019, Section 23(1).</w:t>
      </w:r>
    </w:p>
    <w:p w14:paraId="012FC5F0"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 xml:space="preserve">The procedure for suspension and/or withdrawal of a licence shall be guided by the facility's applicable Compliance Risk Score profile, as determined in accordance with the Guideline for Classification of GXP Deficiencies </w:t>
      </w:r>
      <w:r w:rsidRPr="0028248B">
        <w:rPr>
          <w:rFonts w:cs="Calibri"/>
          <w:b/>
          <w:bCs/>
          <w:i/>
          <w:iCs/>
          <w:color w:val="5B9BD5" w:themeColor="accent5"/>
          <w:sz w:val="22"/>
          <w:szCs w:val="22"/>
        </w:rPr>
        <w:t>BOMRA/IL/IL/P01/G08</w:t>
      </w:r>
    </w:p>
    <w:p w14:paraId="20C939B8"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lastRenderedPageBreak/>
        <w:t>The severity and nature of identified non-conformances, including the presence of critical findings posing immediate risk to public or animal health, shall inform the regulatory action taken.</w:t>
      </w:r>
    </w:p>
    <w:p w14:paraId="62B7FDCB"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Prior to suspension or withdrawal, the Authority shall notify the licence holder in writing of:</w:t>
      </w:r>
    </w:p>
    <w:p w14:paraId="479031B2" w14:textId="77777777" w:rsidR="00DF410E" w:rsidRPr="0028248B" w:rsidRDefault="00DF410E" w:rsidP="004A7F47">
      <w:pPr>
        <w:numPr>
          <w:ilvl w:val="0"/>
          <w:numId w:val="27"/>
        </w:numPr>
        <w:spacing w:after="0" w:line="240" w:lineRule="auto"/>
        <w:contextualSpacing/>
        <w:rPr>
          <w:rFonts w:cs="Calibri"/>
          <w:sz w:val="22"/>
          <w:szCs w:val="22"/>
        </w:rPr>
      </w:pPr>
      <w:r w:rsidRPr="0028248B">
        <w:rPr>
          <w:rFonts w:cs="Calibri"/>
          <w:sz w:val="22"/>
          <w:szCs w:val="22"/>
        </w:rPr>
        <w:t>the decision and the grounds upon which it is based.</w:t>
      </w:r>
    </w:p>
    <w:p w14:paraId="01CF4CD7" w14:textId="77777777" w:rsidR="00DF410E" w:rsidRPr="0028248B" w:rsidRDefault="00DF410E" w:rsidP="004A7F47">
      <w:pPr>
        <w:numPr>
          <w:ilvl w:val="0"/>
          <w:numId w:val="27"/>
        </w:numPr>
        <w:spacing w:after="0" w:line="240" w:lineRule="auto"/>
        <w:contextualSpacing/>
        <w:rPr>
          <w:rFonts w:cs="Calibri"/>
          <w:sz w:val="22"/>
          <w:szCs w:val="22"/>
        </w:rPr>
      </w:pPr>
      <w:r w:rsidRPr="0028248B">
        <w:rPr>
          <w:rFonts w:cs="Calibri"/>
          <w:sz w:val="22"/>
          <w:szCs w:val="22"/>
        </w:rPr>
        <w:t>the corrective actions required to restore compliance; and</w:t>
      </w:r>
    </w:p>
    <w:p w14:paraId="08C3790C" w14:textId="77777777" w:rsidR="00DF410E" w:rsidRPr="0028248B" w:rsidRDefault="00DF410E" w:rsidP="004A7F47">
      <w:pPr>
        <w:numPr>
          <w:ilvl w:val="0"/>
          <w:numId w:val="27"/>
        </w:numPr>
        <w:spacing w:after="0" w:line="240" w:lineRule="auto"/>
        <w:contextualSpacing/>
        <w:rPr>
          <w:rFonts w:cs="Calibri"/>
          <w:sz w:val="22"/>
          <w:szCs w:val="22"/>
        </w:rPr>
      </w:pPr>
      <w:r w:rsidRPr="0028248B">
        <w:rPr>
          <w:rFonts w:cs="Calibri"/>
          <w:sz w:val="22"/>
          <w:szCs w:val="22"/>
        </w:rPr>
        <w:t>the licence holder's right to respond within seven (7) working days of receipt of the notification, in accordance with MRSR 2019, Section 23(2).</w:t>
      </w:r>
    </w:p>
    <w:p w14:paraId="4E0789E4"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 xml:space="preserve">Where a licence is suspended, the facility shall cease all licensed operations for the duration of the suspension. </w:t>
      </w:r>
    </w:p>
    <w:p w14:paraId="1241DA12"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The facility shall remain closed until all identified non-conformances have been satisfactorily addressed and, where required, verified by the Authority through a confirmatory re-inspection. Applicable re-inspection fees shall apply.</w:t>
      </w:r>
    </w:p>
    <w:p w14:paraId="03579E76" w14:textId="65E99472"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 xml:space="preserve">Where a licence is withdrawn, the facility shall immediately and permanently cease all licensed operations. </w:t>
      </w:r>
      <w:r w:rsidR="00BA4468" w:rsidRPr="0028248B">
        <w:rPr>
          <w:rFonts w:cs="Calibri"/>
          <w:sz w:val="22"/>
          <w:szCs w:val="22"/>
        </w:rPr>
        <w:t>N</w:t>
      </w:r>
      <w:r w:rsidRPr="0028248B">
        <w:rPr>
          <w:rFonts w:cs="Calibri"/>
          <w:sz w:val="22"/>
          <w:szCs w:val="22"/>
        </w:rPr>
        <w:t>o</w:t>
      </w:r>
      <w:r w:rsidR="00BA4468" w:rsidRPr="0028248B">
        <w:rPr>
          <w:rFonts w:cs="Calibri"/>
          <w:sz w:val="22"/>
          <w:szCs w:val="22"/>
        </w:rPr>
        <w:t xml:space="preserve"> sale,</w:t>
      </w:r>
      <w:r w:rsidRPr="0028248B">
        <w:rPr>
          <w:rFonts w:cs="Calibri"/>
          <w:sz w:val="22"/>
          <w:szCs w:val="22"/>
        </w:rPr>
        <w:t xml:space="preserve"> distribution, storage, or handling of medicinal products under the withdrawn licence shall be permitted, in accordance with MRSR 2019, Section 23(4).</w:t>
      </w:r>
    </w:p>
    <w:p w14:paraId="5366D801"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A licence holder whose licence has been withdrawn and who wishes to resume operations shall submit a fresh application for a new licence and pay the prescribed application and licence fees as set out in Schedule 5 of the MRSR 2019. Such an application shall be subject to full assessment and inspection by the Authority prior to any licence being granted.</w:t>
      </w:r>
    </w:p>
    <w:p w14:paraId="2B796E9D"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Where the Authority determines that non-compliance poses an immediate and serious risk to public or animal health, the Authority may suspend a licence with immediate effect, without prior notice, and notify the licence holder of the grounds for such action as soon as practicable thereafter. The licence holder shall retain the right to respond and appeal in accordance with the Act and applicable Regulations.</w:t>
      </w:r>
    </w:p>
    <w:p w14:paraId="6C95451D" w14:textId="77777777" w:rsidR="00DF410E" w:rsidRPr="0028248B" w:rsidRDefault="00DF410E" w:rsidP="004A7F47">
      <w:pPr>
        <w:numPr>
          <w:ilvl w:val="0"/>
          <w:numId w:val="15"/>
        </w:numPr>
        <w:spacing w:after="0" w:line="240" w:lineRule="auto"/>
        <w:contextualSpacing/>
        <w:rPr>
          <w:rFonts w:cs="Calibri"/>
          <w:sz w:val="22"/>
          <w:szCs w:val="22"/>
        </w:rPr>
      </w:pPr>
      <w:r w:rsidRPr="0028248B">
        <w:rPr>
          <w:rFonts w:cs="Calibri"/>
          <w:sz w:val="22"/>
          <w:szCs w:val="22"/>
        </w:rPr>
        <w:t>Suspension or withdrawal of a licence shall not preclude the Authority from imposing additional regulatory enforcement measures, including financial penalties or referral for criminal prosecution, where warranted under the Act and applicable Regulations.</w:t>
      </w:r>
    </w:p>
    <w:p w14:paraId="62BF229E" w14:textId="77777777" w:rsidR="007C29EE" w:rsidRPr="0028248B" w:rsidRDefault="007C29EE" w:rsidP="00E1340A">
      <w:pPr>
        <w:spacing w:after="0" w:line="240" w:lineRule="auto"/>
        <w:ind w:left="504"/>
        <w:contextualSpacing/>
        <w:rPr>
          <w:rFonts w:cs="Calibri"/>
          <w:sz w:val="22"/>
          <w:szCs w:val="22"/>
        </w:rPr>
      </w:pPr>
    </w:p>
    <w:p w14:paraId="6DDC84E4" w14:textId="77777777" w:rsidR="00696A6B" w:rsidRPr="0028248B" w:rsidRDefault="00696A6B" w:rsidP="004A7F47">
      <w:pPr>
        <w:keepNext/>
        <w:keepLines/>
        <w:numPr>
          <w:ilvl w:val="0"/>
          <w:numId w:val="25"/>
        </w:numPr>
        <w:spacing w:after="120" w:line="240" w:lineRule="auto"/>
        <w:jc w:val="both"/>
        <w:outlineLvl w:val="0"/>
        <w:rPr>
          <w:rFonts w:cs="Calibri"/>
          <w:sz w:val="22"/>
          <w:szCs w:val="22"/>
        </w:rPr>
      </w:pPr>
      <w:bookmarkStart w:id="33" w:name="_Toc226717484"/>
      <w:bookmarkStart w:id="34" w:name="_Toc227072332"/>
      <w:bookmarkStart w:id="35" w:name="_Toc41489322"/>
      <w:r w:rsidRPr="005B6405">
        <w:rPr>
          <w:rFonts w:eastAsiaTheme="majorEastAsia" w:cstheme="majorBidi"/>
          <w:b/>
        </w:rPr>
        <w:t>Personnel and management</w:t>
      </w:r>
      <w:bookmarkEnd w:id="33"/>
      <w:bookmarkEnd w:id="34"/>
    </w:p>
    <w:p w14:paraId="3FE2FF30" w14:textId="570D4B8B" w:rsidR="00696A6B" w:rsidRPr="0028248B" w:rsidRDefault="00696A6B" w:rsidP="004A7F47">
      <w:pPr>
        <w:numPr>
          <w:ilvl w:val="0"/>
          <w:numId w:val="28"/>
        </w:numPr>
        <w:spacing w:after="0" w:line="240" w:lineRule="auto"/>
        <w:contextualSpacing/>
        <w:jc w:val="both"/>
        <w:rPr>
          <w:rFonts w:cs="Calibri"/>
          <w:sz w:val="22"/>
          <w:szCs w:val="22"/>
        </w:rPr>
      </w:pPr>
      <w:r w:rsidRPr="0028248B">
        <w:rPr>
          <w:rFonts w:cs="Calibri"/>
          <w:sz w:val="22"/>
          <w:szCs w:val="22"/>
        </w:rPr>
        <w:t xml:space="preserve">All </w:t>
      </w:r>
      <w:r w:rsidR="00125ADF" w:rsidRPr="0028248B">
        <w:rPr>
          <w:rFonts w:cs="Calibri"/>
          <w:sz w:val="22"/>
          <w:szCs w:val="22"/>
        </w:rPr>
        <w:t>Pharmacy</w:t>
      </w:r>
      <w:r w:rsidRPr="0028248B">
        <w:rPr>
          <w:rFonts w:cs="Calibri"/>
          <w:sz w:val="22"/>
          <w:szCs w:val="22"/>
        </w:rPr>
        <w:t xml:space="preserve"> operations shall be conducted under the continuous supervision of a registered </w:t>
      </w:r>
      <w:r w:rsidR="003456F2" w:rsidRPr="0028248B">
        <w:rPr>
          <w:rFonts w:cs="Calibri"/>
          <w:sz w:val="22"/>
          <w:szCs w:val="22"/>
        </w:rPr>
        <w:t>P</w:t>
      </w:r>
      <w:r w:rsidRPr="0028248B">
        <w:rPr>
          <w:rFonts w:cs="Calibri"/>
          <w:sz w:val="22"/>
          <w:szCs w:val="22"/>
        </w:rPr>
        <w:t>harmacist operating within their respective scope of practice as defined by the relevant professional regulatory body.</w:t>
      </w:r>
    </w:p>
    <w:p w14:paraId="0264AA16" w14:textId="2BA6E8E1" w:rsidR="00696A6B" w:rsidRPr="0028248B" w:rsidRDefault="00696A6B" w:rsidP="004A7F47">
      <w:pPr>
        <w:numPr>
          <w:ilvl w:val="0"/>
          <w:numId w:val="28"/>
        </w:numPr>
        <w:spacing w:after="0" w:line="240" w:lineRule="auto"/>
        <w:contextualSpacing/>
        <w:jc w:val="both"/>
        <w:rPr>
          <w:rFonts w:cs="Calibri"/>
          <w:sz w:val="22"/>
          <w:szCs w:val="22"/>
        </w:rPr>
      </w:pPr>
      <w:r w:rsidRPr="0028248B">
        <w:rPr>
          <w:rFonts w:cs="Calibri"/>
          <w:sz w:val="22"/>
          <w:szCs w:val="22"/>
        </w:rPr>
        <w:t xml:space="preserve">All personnel involved in </w:t>
      </w:r>
      <w:r w:rsidR="00C83DF3" w:rsidRPr="0028248B">
        <w:rPr>
          <w:rFonts w:cs="Calibri"/>
          <w:sz w:val="22"/>
          <w:szCs w:val="22"/>
        </w:rPr>
        <w:t>pharmac</w:t>
      </w:r>
      <w:r w:rsidR="00F42E31" w:rsidRPr="0028248B">
        <w:rPr>
          <w:rFonts w:cs="Calibri"/>
          <w:sz w:val="22"/>
          <w:szCs w:val="22"/>
        </w:rPr>
        <w:t>y</w:t>
      </w:r>
      <w:r w:rsidRPr="0028248B">
        <w:rPr>
          <w:rFonts w:cs="Calibri"/>
          <w:sz w:val="22"/>
          <w:szCs w:val="22"/>
        </w:rPr>
        <w:t xml:space="preserve"> activities shall be suitably trained and assessed on the requirements of </w:t>
      </w:r>
      <w:r w:rsidR="000D2065" w:rsidRPr="0028248B">
        <w:rPr>
          <w:rFonts w:cs="Calibri"/>
          <w:sz w:val="22"/>
          <w:szCs w:val="22"/>
        </w:rPr>
        <w:t>G</w:t>
      </w:r>
      <w:r w:rsidRPr="0028248B">
        <w:rPr>
          <w:rFonts w:cs="Calibri"/>
          <w:sz w:val="22"/>
          <w:szCs w:val="22"/>
        </w:rPr>
        <w:t>ood Storage and Distribution Practice</w:t>
      </w:r>
      <w:r w:rsidR="008F345B" w:rsidRPr="0028248B">
        <w:rPr>
          <w:rFonts w:cs="Calibri"/>
          <w:sz w:val="22"/>
          <w:szCs w:val="22"/>
        </w:rPr>
        <w:t>s,</w:t>
      </w:r>
      <w:r w:rsidRPr="0028248B">
        <w:rPr>
          <w:rFonts w:cs="Calibri"/>
          <w:sz w:val="22"/>
          <w:szCs w:val="22"/>
        </w:rPr>
        <w:t xml:space="preserve"> prior to undertaking their duties. Training shall be delivered through documented Standard Operating Procedures (SOPs), and records of training and competency assessments shall be maintained for all personnel.</w:t>
      </w:r>
    </w:p>
    <w:p w14:paraId="6ADDB2B4" w14:textId="1F416C7C" w:rsidR="00696A6B" w:rsidRPr="0028248B" w:rsidRDefault="00696A6B" w:rsidP="004A7F47">
      <w:pPr>
        <w:numPr>
          <w:ilvl w:val="0"/>
          <w:numId w:val="28"/>
        </w:numPr>
        <w:spacing w:after="0" w:line="240" w:lineRule="auto"/>
        <w:contextualSpacing/>
        <w:jc w:val="both"/>
        <w:rPr>
          <w:rFonts w:cs="Calibri"/>
          <w:sz w:val="22"/>
          <w:szCs w:val="22"/>
        </w:rPr>
      </w:pPr>
      <w:r w:rsidRPr="0028248B">
        <w:rPr>
          <w:rFonts w:cs="Calibri"/>
          <w:sz w:val="22"/>
          <w:szCs w:val="22"/>
        </w:rPr>
        <w:t xml:space="preserve">All personnel engaged in </w:t>
      </w:r>
      <w:r w:rsidR="0005382A" w:rsidRPr="0028248B">
        <w:rPr>
          <w:rFonts w:cs="Calibri"/>
          <w:sz w:val="22"/>
          <w:szCs w:val="22"/>
        </w:rPr>
        <w:t>pharmacy</w:t>
      </w:r>
      <w:r w:rsidRPr="0028248B">
        <w:rPr>
          <w:rFonts w:cs="Calibri"/>
          <w:sz w:val="22"/>
          <w:szCs w:val="22"/>
        </w:rPr>
        <w:t xml:space="preserve"> operations shall have a current employment contract and a written job description specific to their role, activities, and responsibilities within the facility.</w:t>
      </w:r>
    </w:p>
    <w:p w14:paraId="561DA3BE" w14:textId="2BEB84AD" w:rsidR="00696A6B" w:rsidRPr="0028248B" w:rsidRDefault="00696A6B" w:rsidP="004A7F47">
      <w:pPr>
        <w:numPr>
          <w:ilvl w:val="0"/>
          <w:numId w:val="28"/>
        </w:numPr>
        <w:spacing w:after="0" w:line="240" w:lineRule="auto"/>
        <w:contextualSpacing/>
        <w:jc w:val="both"/>
        <w:rPr>
          <w:rFonts w:cs="Calibri"/>
          <w:sz w:val="22"/>
          <w:szCs w:val="22"/>
        </w:rPr>
      </w:pPr>
      <w:r w:rsidRPr="0028248B">
        <w:rPr>
          <w:rFonts w:cs="Calibri"/>
          <w:sz w:val="22"/>
          <w:szCs w:val="22"/>
        </w:rPr>
        <w:t xml:space="preserve">All personnel involved in </w:t>
      </w:r>
      <w:r w:rsidR="004D6A99" w:rsidRPr="0028248B">
        <w:rPr>
          <w:rFonts w:cs="Calibri"/>
          <w:sz w:val="22"/>
          <w:szCs w:val="22"/>
        </w:rPr>
        <w:t>pharmac</w:t>
      </w:r>
      <w:r w:rsidR="00DC1C0C" w:rsidRPr="0028248B">
        <w:rPr>
          <w:rFonts w:cs="Calibri"/>
          <w:sz w:val="22"/>
          <w:szCs w:val="22"/>
        </w:rPr>
        <w:t>y</w:t>
      </w:r>
      <w:r w:rsidRPr="0028248B">
        <w:rPr>
          <w:rFonts w:cs="Calibri"/>
          <w:sz w:val="22"/>
          <w:szCs w:val="22"/>
        </w:rPr>
        <w:t xml:space="preserve"> activities shall receive initial and continuing training on:</w:t>
      </w:r>
    </w:p>
    <w:p w14:paraId="4A1FA6A2" w14:textId="77777777" w:rsidR="00696A6B" w:rsidRPr="0028248B" w:rsidRDefault="00696A6B" w:rsidP="004A7F47">
      <w:pPr>
        <w:numPr>
          <w:ilvl w:val="0"/>
          <w:numId w:val="29"/>
        </w:numPr>
        <w:spacing w:after="0" w:line="240" w:lineRule="auto"/>
        <w:contextualSpacing/>
        <w:jc w:val="both"/>
        <w:rPr>
          <w:rFonts w:cs="Calibri"/>
          <w:sz w:val="22"/>
          <w:szCs w:val="22"/>
        </w:rPr>
      </w:pPr>
      <w:r w:rsidRPr="0028248B">
        <w:rPr>
          <w:rFonts w:cs="Calibri"/>
          <w:sz w:val="22"/>
          <w:szCs w:val="22"/>
        </w:rPr>
        <w:t>medicinal product security and chain of custody.</w:t>
      </w:r>
    </w:p>
    <w:p w14:paraId="3B48834C" w14:textId="77777777" w:rsidR="00696A6B" w:rsidRPr="0028248B" w:rsidRDefault="00696A6B" w:rsidP="004A7F47">
      <w:pPr>
        <w:numPr>
          <w:ilvl w:val="0"/>
          <w:numId w:val="29"/>
        </w:numPr>
        <w:spacing w:after="0" w:line="240" w:lineRule="auto"/>
        <w:contextualSpacing/>
        <w:jc w:val="both"/>
        <w:rPr>
          <w:rFonts w:cs="Calibri"/>
          <w:sz w:val="22"/>
          <w:szCs w:val="22"/>
        </w:rPr>
      </w:pPr>
      <w:r w:rsidRPr="0028248B">
        <w:rPr>
          <w:rFonts w:cs="Calibri"/>
          <w:sz w:val="22"/>
          <w:szCs w:val="22"/>
        </w:rPr>
        <w:t>product identification and verification.</w:t>
      </w:r>
    </w:p>
    <w:p w14:paraId="67E1CA68" w14:textId="77777777" w:rsidR="00696A6B" w:rsidRPr="0028248B" w:rsidRDefault="00696A6B" w:rsidP="004A7F47">
      <w:pPr>
        <w:numPr>
          <w:ilvl w:val="0"/>
          <w:numId w:val="29"/>
        </w:numPr>
        <w:spacing w:after="0" w:line="240" w:lineRule="auto"/>
        <w:contextualSpacing/>
        <w:jc w:val="both"/>
        <w:rPr>
          <w:rFonts w:cs="Calibri"/>
          <w:sz w:val="22"/>
          <w:szCs w:val="22"/>
        </w:rPr>
      </w:pPr>
      <w:r w:rsidRPr="0028248B">
        <w:rPr>
          <w:rFonts w:cs="Calibri"/>
          <w:sz w:val="22"/>
          <w:szCs w:val="22"/>
        </w:rPr>
        <w:t>detection, handling, and reporting of substandard and falsified medicinal products; and</w:t>
      </w:r>
    </w:p>
    <w:p w14:paraId="5C1EE2C7" w14:textId="77777777" w:rsidR="00696A6B" w:rsidRPr="0028248B" w:rsidRDefault="00696A6B" w:rsidP="00696A6B">
      <w:pPr>
        <w:spacing w:after="0"/>
        <w:ind w:left="1080"/>
        <w:contextualSpacing/>
        <w:jc w:val="both"/>
        <w:rPr>
          <w:rFonts w:cs="Calibri"/>
          <w:sz w:val="22"/>
          <w:szCs w:val="22"/>
        </w:rPr>
      </w:pPr>
      <w:r w:rsidRPr="0028248B">
        <w:rPr>
          <w:rFonts w:cs="Calibri"/>
          <w:sz w:val="22"/>
          <w:szCs w:val="22"/>
        </w:rPr>
        <w:t>applicable regulatory and reporting obligations under the Act and these Guidelines.</w:t>
      </w:r>
    </w:p>
    <w:p w14:paraId="4E0A85D7" w14:textId="3434F49F" w:rsidR="00D272F0" w:rsidRPr="0028248B" w:rsidRDefault="00696A6B" w:rsidP="004A7F47">
      <w:pPr>
        <w:numPr>
          <w:ilvl w:val="0"/>
          <w:numId w:val="30"/>
        </w:numPr>
        <w:spacing w:after="0" w:line="240" w:lineRule="auto"/>
        <w:ind w:left="720" w:hanging="720"/>
        <w:contextualSpacing/>
        <w:jc w:val="both"/>
        <w:rPr>
          <w:rFonts w:cs="Calibri"/>
          <w:sz w:val="22"/>
          <w:szCs w:val="22"/>
        </w:rPr>
      </w:pPr>
      <w:r w:rsidRPr="0028248B">
        <w:rPr>
          <w:rFonts w:cs="Calibri"/>
          <w:sz w:val="22"/>
          <w:szCs w:val="22"/>
        </w:rPr>
        <w:t>Records of all such training shall be maintained and made available to the Authority upon request.</w:t>
      </w:r>
    </w:p>
    <w:p w14:paraId="695E218B" w14:textId="77777777" w:rsidR="00001C9D" w:rsidRPr="0028248B" w:rsidRDefault="00001C9D" w:rsidP="00EB6F4A">
      <w:pPr>
        <w:spacing w:after="0" w:line="240" w:lineRule="auto"/>
        <w:ind w:left="720"/>
        <w:contextualSpacing/>
        <w:jc w:val="both"/>
        <w:rPr>
          <w:rFonts w:cs="Calibri"/>
          <w:sz w:val="22"/>
          <w:szCs w:val="22"/>
        </w:rPr>
      </w:pPr>
    </w:p>
    <w:p w14:paraId="608965B6" w14:textId="7171BB07" w:rsidR="00AA4BE0" w:rsidRPr="005B6405" w:rsidRDefault="004A4A8F" w:rsidP="001A49B0">
      <w:pPr>
        <w:pStyle w:val="Heading2"/>
        <w:spacing w:before="0" w:after="120" w:line="240" w:lineRule="auto"/>
        <w:jc w:val="both"/>
        <w:rPr>
          <w:rFonts w:ascii="Gill Sans MT" w:hAnsi="Gill Sans MT"/>
          <w:b/>
          <w:bCs/>
          <w:color w:val="auto"/>
          <w:sz w:val="24"/>
          <w:szCs w:val="24"/>
        </w:rPr>
      </w:pPr>
      <w:bookmarkStart w:id="36" w:name="_Toc41489324"/>
      <w:bookmarkStart w:id="37" w:name="_Toc227072333"/>
      <w:bookmarkEnd w:id="35"/>
      <w:r w:rsidRPr="005B6405">
        <w:rPr>
          <w:rFonts w:ascii="Gill Sans MT" w:hAnsi="Gill Sans MT"/>
          <w:b/>
          <w:bCs/>
          <w:color w:val="auto"/>
          <w:sz w:val="24"/>
          <w:szCs w:val="24"/>
        </w:rPr>
        <w:t>8.</w:t>
      </w:r>
      <w:r w:rsidR="0055533C" w:rsidRPr="005B6405">
        <w:rPr>
          <w:rFonts w:ascii="Gill Sans MT" w:hAnsi="Gill Sans MT"/>
          <w:b/>
          <w:bCs/>
          <w:color w:val="auto"/>
          <w:sz w:val="24"/>
          <w:szCs w:val="24"/>
        </w:rPr>
        <w:tab/>
      </w:r>
      <w:r w:rsidR="00730552" w:rsidRPr="005B6405">
        <w:rPr>
          <w:rFonts w:ascii="Gill Sans MT" w:hAnsi="Gill Sans MT"/>
          <w:b/>
          <w:bCs/>
          <w:color w:val="auto"/>
          <w:sz w:val="24"/>
          <w:szCs w:val="24"/>
        </w:rPr>
        <w:t>Premises</w:t>
      </w:r>
      <w:bookmarkEnd w:id="36"/>
      <w:bookmarkEnd w:id="37"/>
      <w:r w:rsidR="00730552" w:rsidRPr="005B6405">
        <w:rPr>
          <w:rFonts w:ascii="Gill Sans MT" w:hAnsi="Gill Sans MT"/>
          <w:b/>
          <w:bCs/>
          <w:color w:val="auto"/>
          <w:sz w:val="24"/>
          <w:szCs w:val="24"/>
        </w:rPr>
        <w:t xml:space="preserve"> </w:t>
      </w:r>
    </w:p>
    <w:p w14:paraId="795A5456" w14:textId="77777777" w:rsidR="00173E5F" w:rsidRPr="0028248B" w:rsidRDefault="00173E5F" w:rsidP="00173E5F">
      <w:pPr>
        <w:keepNext/>
        <w:keepLines/>
        <w:spacing w:before="40" w:after="0" w:line="240" w:lineRule="auto"/>
        <w:jc w:val="both"/>
        <w:outlineLvl w:val="1"/>
        <w:rPr>
          <w:rFonts w:eastAsiaTheme="majorEastAsia" w:cstheme="majorBidi"/>
          <w:b/>
        </w:rPr>
      </w:pPr>
      <w:bookmarkStart w:id="38" w:name="_Toc226717486"/>
      <w:bookmarkStart w:id="39" w:name="_Toc227072334"/>
      <w:r w:rsidRPr="0028248B">
        <w:rPr>
          <w:rFonts w:eastAsiaTheme="majorEastAsia" w:cstheme="majorBidi"/>
          <w:b/>
        </w:rPr>
        <w:t>8.1 Premises — General Requirements</w:t>
      </w:r>
      <w:bookmarkEnd w:id="38"/>
      <w:bookmarkEnd w:id="39"/>
    </w:p>
    <w:p w14:paraId="6D394098" w14:textId="2FB53A16" w:rsidR="00C54FBC" w:rsidRPr="0028248B" w:rsidRDefault="00173E5F"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8.1.1 </w:t>
      </w:r>
      <w:r w:rsidRPr="0028248B">
        <w:rPr>
          <w:rFonts w:eastAsiaTheme="majorEastAsia" w:cstheme="majorBidi"/>
          <w:sz w:val="22"/>
          <w:szCs w:val="22"/>
        </w:rPr>
        <w:tab/>
      </w:r>
      <w:r w:rsidR="00C54FBC" w:rsidRPr="0028248B">
        <w:rPr>
          <w:rFonts w:eastAsiaTheme="majorEastAsia" w:cstheme="majorBidi"/>
          <w:sz w:val="22"/>
          <w:szCs w:val="22"/>
        </w:rPr>
        <w:t xml:space="preserve">For Pre Licensing, BHPC registration certificates shall be conspicuously </w:t>
      </w:r>
      <w:proofErr w:type="gramStart"/>
      <w:r w:rsidR="00C54FBC" w:rsidRPr="0028248B">
        <w:rPr>
          <w:rFonts w:eastAsiaTheme="majorEastAsia" w:cstheme="majorBidi"/>
          <w:sz w:val="22"/>
          <w:szCs w:val="22"/>
        </w:rPr>
        <w:t>displayed</w:t>
      </w:r>
      <w:r w:rsidR="00407818" w:rsidRPr="0028248B">
        <w:rPr>
          <w:rFonts w:eastAsiaTheme="majorEastAsia" w:cstheme="majorBidi"/>
          <w:sz w:val="22"/>
          <w:szCs w:val="22"/>
        </w:rPr>
        <w:t xml:space="preserve"> at all </w:t>
      </w:r>
      <w:r w:rsidR="005B6405" w:rsidRPr="0028248B">
        <w:rPr>
          <w:rFonts w:eastAsiaTheme="majorEastAsia" w:cstheme="majorBidi"/>
          <w:sz w:val="22"/>
          <w:szCs w:val="22"/>
        </w:rPr>
        <w:t>times</w:t>
      </w:r>
      <w:proofErr w:type="gramEnd"/>
      <w:r w:rsidR="005B6405" w:rsidRPr="0028248B">
        <w:rPr>
          <w:rFonts w:eastAsiaTheme="majorEastAsia" w:cstheme="majorBidi"/>
          <w:sz w:val="22"/>
          <w:szCs w:val="22"/>
        </w:rPr>
        <w:t xml:space="preserve"> for</w:t>
      </w:r>
      <w:r w:rsidR="00C54FBC" w:rsidRPr="0028248B">
        <w:rPr>
          <w:rFonts w:eastAsiaTheme="majorEastAsia" w:cstheme="majorBidi"/>
          <w:sz w:val="22"/>
          <w:szCs w:val="22"/>
        </w:rPr>
        <w:t xml:space="preserve"> public view in the premises, and the name/s of the pharmacist/s responsible shall be prominently displayed at the facility entrance. </w:t>
      </w:r>
    </w:p>
    <w:p w14:paraId="10FE5998" w14:textId="69F9D191" w:rsidR="005627D1" w:rsidRPr="0028248B" w:rsidRDefault="00C54FBC"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8.1.2</w:t>
      </w:r>
      <w:r w:rsidRPr="0028248B">
        <w:rPr>
          <w:rFonts w:eastAsiaTheme="majorEastAsia" w:cstheme="majorBidi"/>
          <w:sz w:val="22"/>
          <w:szCs w:val="22"/>
        </w:rPr>
        <w:tab/>
      </w:r>
      <w:r w:rsidR="0028095D" w:rsidRPr="0028248B">
        <w:rPr>
          <w:rFonts w:eastAsiaTheme="majorEastAsia" w:cstheme="majorBidi"/>
          <w:sz w:val="22"/>
          <w:szCs w:val="22"/>
        </w:rPr>
        <w:t xml:space="preserve">For License </w:t>
      </w:r>
      <w:r w:rsidR="00D20697" w:rsidRPr="0028248B">
        <w:rPr>
          <w:rFonts w:eastAsiaTheme="majorEastAsia" w:cstheme="majorBidi"/>
          <w:sz w:val="22"/>
          <w:szCs w:val="22"/>
        </w:rPr>
        <w:t>renewal</w:t>
      </w:r>
      <w:r w:rsidR="009C5DC2" w:rsidRPr="0028248B">
        <w:rPr>
          <w:rFonts w:eastAsiaTheme="majorEastAsia" w:cstheme="majorBidi"/>
          <w:sz w:val="22"/>
          <w:szCs w:val="22"/>
        </w:rPr>
        <w:t>, v</w:t>
      </w:r>
      <w:r w:rsidR="001E3C5D" w:rsidRPr="0028248B">
        <w:rPr>
          <w:rFonts w:eastAsiaTheme="majorEastAsia" w:cstheme="majorBidi"/>
          <w:sz w:val="22"/>
          <w:szCs w:val="22"/>
        </w:rPr>
        <w:t>alid</w:t>
      </w:r>
      <w:r w:rsidR="00173E5F" w:rsidRPr="0028248B">
        <w:rPr>
          <w:rFonts w:eastAsiaTheme="majorEastAsia" w:cstheme="majorBidi"/>
          <w:sz w:val="22"/>
          <w:szCs w:val="22"/>
        </w:rPr>
        <w:t xml:space="preserve"> trade licence, BoMRA licence, </w:t>
      </w:r>
      <w:r w:rsidR="008239FA" w:rsidRPr="0028248B">
        <w:rPr>
          <w:rFonts w:eastAsiaTheme="majorEastAsia" w:cstheme="majorBidi"/>
          <w:sz w:val="22"/>
          <w:szCs w:val="22"/>
        </w:rPr>
        <w:t xml:space="preserve">Private Practice license, </w:t>
      </w:r>
      <w:r w:rsidR="00173E5F" w:rsidRPr="0028248B">
        <w:rPr>
          <w:rFonts w:eastAsiaTheme="majorEastAsia" w:cstheme="majorBidi"/>
          <w:sz w:val="22"/>
          <w:szCs w:val="22"/>
        </w:rPr>
        <w:t xml:space="preserve">and registration certificates shall be conspicuously </w:t>
      </w:r>
      <w:proofErr w:type="gramStart"/>
      <w:r w:rsidR="00173E5F" w:rsidRPr="0028248B">
        <w:rPr>
          <w:rFonts w:eastAsiaTheme="majorEastAsia" w:cstheme="majorBidi"/>
          <w:sz w:val="22"/>
          <w:szCs w:val="22"/>
        </w:rPr>
        <w:t xml:space="preserve">displayed </w:t>
      </w:r>
      <w:r w:rsidR="005B6405" w:rsidRPr="0028248B">
        <w:rPr>
          <w:rFonts w:eastAsiaTheme="majorEastAsia" w:cstheme="majorBidi"/>
          <w:sz w:val="22"/>
          <w:szCs w:val="22"/>
        </w:rPr>
        <w:t>at all times</w:t>
      </w:r>
      <w:proofErr w:type="gramEnd"/>
      <w:r w:rsidR="005B6405" w:rsidRPr="0028248B">
        <w:rPr>
          <w:rFonts w:eastAsiaTheme="majorEastAsia" w:cstheme="majorBidi"/>
          <w:sz w:val="22"/>
          <w:szCs w:val="22"/>
        </w:rPr>
        <w:t xml:space="preserve"> </w:t>
      </w:r>
      <w:r w:rsidR="00CA2DC9" w:rsidRPr="0028248B">
        <w:rPr>
          <w:rFonts w:eastAsiaTheme="majorEastAsia" w:cstheme="majorBidi"/>
          <w:sz w:val="22"/>
          <w:szCs w:val="22"/>
        </w:rPr>
        <w:t>for public view</w:t>
      </w:r>
      <w:r w:rsidR="008F0028" w:rsidRPr="0028248B">
        <w:rPr>
          <w:rFonts w:eastAsiaTheme="majorEastAsia" w:cstheme="majorBidi"/>
          <w:sz w:val="22"/>
          <w:szCs w:val="22"/>
        </w:rPr>
        <w:t xml:space="preserve"> in the premises</w:t>
      </w:r>
      <w:r w:rsidR="00173E5F" w:rsidRPr="0028248B">
        <w:rPr>
          <w:rFonts w:eastAsiaTheme="majorEastAsia" w:cstheme="majorBidi"/>
          <w:sz w:val="22"/>
          <w:szCs w:val="22"/>
        </w:rPr>
        <w:t>, and the name/</w:t>
      </w:r>
      <w:r w:rsidR="00351757" w:rsidRPr="0028248B">
        <w:rPr>
          <w:rFonts w:eastAsiaTheme="majorEastAsia" w:cstheme="majorBidi"/>
          <w:sz w:val="22"/>
          <w:szCs w:val="22"/>
        </w:rPr>
        <w:t>s</w:t>
      </w:r>
      <w:r w:rsidR="00173E5F" w:rsidRPr="0028248B">
        <w:rPr>
          <w:rFonts w:eastAsiaTheme="majorEastAsia" w:cstheme="majorBidi"/>
          <w:sz w:val="22"/>
          <w:szCs w:val="22"/>
        </w:rPr>
        <w:t xml:space="preserve"> of the </w:t>
      </w:r>
      <w:r w:rsidR="00DC1C0C" w:rsidRPr="0028248B">
        <w:rPr>
          <w:rFonts w:eastAsiaTheme="majorEastAsia" w:cstheme="majorBidi"/>
          <w:sz w:val="22"/>
          <w:szCs w:val="22"/>
        </w:rPr>
        <w:t>pharmacist/s responsible</w:t>
      </w:r>
      <w:r w:rsidR="00351757" w:rsidRPr="0028248B">
        <w:rPr>
          <w:rFonts w:eastAsiaTheme="majorEastAsia" w:cstheme="majorBidi"/>
          <w:sz w:val="22"/>
          <w:szCs w:val="22"/>
        </w:rPr>
        <w:t xml:space="preserve"> </w:t>
      </w:r>
      <w:r w:rsidR="00173E5F" w:rsidRPr="0028248B">
        <w:rPr>
          <w:rFonts w:eastAsiaTheme="majorEastAsia" w:cstheme="majorBidi"/>
          <w:sz w:val="22"/>
          <w:szCs w:val="22"/>
        </w:rPr>
        <w:t>shall be prominently displayed at the facility entrance.</w:t>
      </w:r>
      <w:r w:rsidR="006C04A5" w:rsidRPr="0028248B">
        <w:rPr>
          <w:rFonts w:eastAsiaTheme="majorEastAsia" w:cstheme="majorBidi"/>
          <w:sz w:val="22"/>
          <w:szCs w:val="22"/>
        </w:rPr>
        <w:t xml:space="preserve"> </w:t>
      </w:r>
    </w:p>
    <w:p w14:paraId="6BE8979C" w14:textId="3417F80D" w:rsidR="00173E5F" w:rsidRPr="0028248B" w:rsidRDefault="00173E5F" w:rsidP="00CA5F2C">
      <w:pPr>
        <w:spacing w:after="0" w:line="240" w:lineRule="auto"/>
        <w:ind w:left="720" w:hanging="720"/>
        <w:jc w:val="both"/>
        <w:rPr>
          <w:rFonts w:ascii="Calibri" w:eastAsia="Calibri" w:hAnsi="Calibri" w:cs="Arial"/>
          <w:sz w:val="22"/>
          <w:szCs w:val="22"/>
        </w:rPr>
      </w:pPr>
      <w:r w:rsidRPr="0028248B">
        <w:rPr>
          <w:rFonts w:eastAsiaTheme="majorEastAsia" w:cstheme="majorBidi"/>
          <w:sz w:val="22"/>
          <w:szCs w:val="22"/>
        </w:rPr>
        <w:t>8.1.</w:t>
      </w:r>
      <w:r w:rsidR="00E60CF4" w:rsidRPr="0028248B">
        <w:rPr>
          <w:rFonts w:eastAsiaTheme="majorEastAsia" w:cstheme="majorBidi"/>
          <w:sz w:val="22"/>
          <w:szCs w:val="22"/>
        </w:rPr>
        <w:t>3</w:t>
      </w:r>
      <w:r w:rsidRPr="0028248B">
        <w:rPr>
          <w:rFonts w:eastAsiaTheme="majorEastAsia" w:cstheme="majorBidi"/>
          <w:sz w:val="22"/>
          <w:szCs w:val="22"/>
        </w:rPr>
        <w:tab/>
        <w:t xml:space="preserve">Premises shall be secured against unauthorised entry through appropriate physical access controls. Signage prohibiting unauthorised entry, eating, drinking, and smoking shall be prominently displayed throughout the </w:t>
      </w:r>
      <w:r w:rsidR="00351757" w:rsidRPr="0028248B">
        <w:rPr>
          <w:rFonts w:eastAsiaTheme="majorEastAsia" w:cstheme="majorBidi"/>
          <w:sz w:val="22"/>
          <w:szCs w:val="22"/>
        </w:rPr>
        <w:t>pharmacy</w:t>
      </w:r>
      <w:r w:rsidRPr="0028248B">
        <w:rPr>
          <w:rFonts w:eastAsiaTheme="majorEastAsia" w:cstheme="majorBidi"/>
          <w:sz w:val="22"/>
          <w:szCs w:val="22"/>
        </w:rPr>
        <w:t>.</w:t>
      </w:r>
    </w:p>
    <w:p w14:paraId="550D24B8" w14:textId="1693DB6C" w:rsidR="00173E5F" w:rsidRPr="0028248B" w:rsidRDefault="00173E5F" w:rsidP="00CA5F2C">
      <w:pPr>
        <w:spacing w:after="0" w:line="240" w:lineRule="auto"/>
        <w:ind w:left="720" w:hanging="720"/>
        <w:jc w:val="both"/>
        <w:rPr>
          <w:rFonts w:ascii="Calibri" w:eastAsia="Calibri" w:hAnsi="Calibri" w:cs="Arial"/>
          <w:sz w:val="22"/>
          <w:szCs w:val="22"/>
        </w:rPr>
      </w:pPr>
      <w:r w:rsidRPr="0028248B">
        <w:rPr>
          <w:rFonts w:eastAsiaTheme="majorEastAsia" w:cstheme="majorBidi"/>
          <w:sz w:val="22"/>
          <w:szCs w:val="22"/>
        </w:rPr>
        <w:t>8.1.</w:t>
      </w:r>
      <w:r w:rsidR="00E60CF4" w:rsidRPr="0028248B">
        <w:rPr>
          <w:rFonts w:eastAsiaTheme="majorEastAsia" w:cstheme="majorBidi"/>
          <w:sz w:val="22"/>
          <w:szCs w:val="22"/>
        </w:rPr>
        <w:t>4</w:t>
      </w:r>
      <w:r w:rsidRPr="0028248B">
        <w:rPr>
          <w:rFonts w:eastAsiaTheme="majorEastAsia" w:cstheme="majorBidi"/>
          <w:sz w:val="22"/>
          <w:szCs w:val="22"/>
        </w:rPr>
        <w:tab/>
        <w:t>All surfaces shall be clean, dry, and constructed of smooth, impervious, and washable materials. Medicinal products shall be stored off the floor, adequately spaced, and handled in a manner that prevents contamination, mix-ups, and cross-contamination.</w:t>
      </w:r>
    </w:p>
    <w:p w14:paraId="5394DF46" w14:textId="415589C3" w:rsidR="00173E5F" w:rsidRPr="0028248B" w:rsidRDefault="00173E5F" w:rsidP="00CA5F2C">
      <w:pPr>
        <w:spacing w:after="0" w:line="240" w:lineRule="auto"/>
        <w:ind w:left="720" w:hanging="720"/>
        <w:jc w:val="both"/>
        <w:rPr>
          <w:rFonts w:ascii="Calibri" w:eastAsia="Calibri" w:hAnsi="Calibri" w:cs="Arial"/>
          <w:sz w:val="22"/>
          <w:szCs w:val="22"/>
        </w:rPr>
      </w:pPr>
      <w:r w:rsidRPr="0028248B">
        <w:rPr>
          <w:rFonts w:eastAsiaTheme="majorEastAsia" w:cstheme="majorBidi"/>
          <w:sz w:val="22"/>
          <w:szCs w:val="22"/>
        </w:rPr>
        <w:t>8.1.</w:t>
      </w:r>
      <w:r w:rsidR="00E60CF4" w:rsidRPr="0028248B">
        <w:rPr>
          <w:rFonts w:eastAsiaTheme="majorEastAsia" w:cstheme="majorBidi"/>
          <w:sz w:val="22"/>
          <w:szCs w:val="22"/>
        </w:rPr>
        <w:t>5</w:t>
      </w:r>
      <w:r w:rsidRPr="0028248B">
        <w:rPr>
          <w:rFonts w:eastAsiaTheme="majorEastAsia" w:cstheme="majorBidi"/>
          <w:sz w:val="22"/>
          <w:szCs w:val="22"/>
        </w:rPr>
        <w:t xml:space="preserve"> </w:t>
      </w:r>
      <w:r w:rsidRPr="0028248B">
        <w:rPr>
          <w:rFonts w:eastAsiaTheme="majorEastAsia" w:cstheme="majorBidi"/>
          <w:sz w:val="22"/>
          <w:szCs w:val="22"/>
        </w:rPr>
        <w:tab/>
        <w:t>Products shall be protected from direct sunlight, rain, and extreme weather conditions always.</w:t>
      </w:r>
    </w:p>
    <w:p w14:paraId="11466C41" w14:textId="0992DB47" w:rsidR="00173E5F" w:rsidRPr="0028248B" w:rsidRDefault="00173E5F" w:rsidP="00CA5F2C">
      <w:pPr>
        <w:spacing w:after="0" w:line="240" w:lineRule="auto"/>
        <w:ind w:left="720" w:hanging="720"/>
        <w:jc w:val="both"/>
        <w:rPr>
          <w:rFonts w:ascii="Calibri" w:eastAsia="Calibri" w:hAnsi="Calibri" w:cs="Arial"/>
          <w:sz w:val="22"/>
          <w:szCs w:val="22"/>
        </w:rPr>
      </w:pPr>
      <w:r w:rsidRPr="0028248B">
        <w:rPr>
          <w:rFonts w:eastAsiaTheme="majorEastAsia" w:cstheme="majorBidi"/>
          <w:sz w:val="22"/>
          <w:szCs w:val="22"/>
        </w:rPr>
        <w:t>8.1.</w:t>
      </w:r>
      <w:r w:rsidR="00E60CF4" w:rsidRPr="0028248B">
        <w:rPr>
          <w:rFonts w:eastAsiaTheme="majorEastAsia" w:cstheme="majorBidi"/>
          <w:sz w:val="22"/>
          <w:szCs w:val="22"/>
        </w:rPr>
        <w:t>6</w:t>
      </w:r>
      <w:r w:rsidRPr="0028248B">
        <w:rPr>
          <w:rFonts w:eastAsiaTheme="majorEastAsia" w:cstheme="majorBidi"/>
          <w:sz w:val="22"/>
          <w:szCs w:val="22"/>
        </w:rPr>
        <w:tab/>
        <w:t>Dedicated, clearly labelled, and segregated areas shall be provided for quarantined, recalled, expired, rejected, and returned medicinal products. Records for each such area shall be maintained and kept current.</w:t>
      </w:r>
    </w:p>
    <w:p w14:paraId="55B3BBB3" w14:textId="61F2F9AC" w:rsidR="00173E5F" w:rsidRPr="0028248B" w:rsidRDefault="00173E5F" w:rsidP="00CA5F2C">
      <w:pPr>
        <w:spacing w:after="0" w:line="240" w:lineRule="auto"/>
        <w:ind w:left="720" w:hanging="720"/>
        <w:jc w:val="both"/>
        <w:rPr>
          <w:rFonts w:ascii="Calibri" w:eastAsia="Calibri" w:hAnsi="Calibri" w:cs="Arial"/>
          <w:sz w:val="22"/>
          <w:szCs w:val="22"/>
        </w:rPr>
      </w:pPr>
      <w:r w:rsidRPr="0028248B">
        <w:rPr>
          <w:rFonts w:eastAsiaTheme="majorEastAsia" w:cstheme="majorBidi"/>
          <w:sz w:val="22"/>
          <w:szCs w:val="22"/>
        </w:rPr>
        <w:t>8.1.</w:t>
      </w:r>
      <w:r w:rsidR="00E60CF4" w:rsidRPr="0028248B">
        <w:rPr>
          <w:rFonts w:eastAsiaTheme="majorEastAsia" w:cstheme="majorBidi"/>
          <w:sz w:val="22"/>
          <w:szCs w:val="22"/>
        </w:rPr>
        <w:t>7</w:t>
      </w:r>
      <w:r w:rsidRPr="0028248B">
        <w:rPr>
          <w:rFonts w:eastAsiaTheme="majorEastAsia" w:cstheme="majorBidi"/>
          <w:sz w:val="22"/>
          <w:szCs w:val="22"/>
        </w:rPr>
        <w:tab/>
        <w:t>Written cleaning and pest control procedures shall be in place, specifying methods, responsibilities, and frequencies. Records demonstrating the execution and effectiveness of both programmes shall be maintained and made available to the Authority upon request.</w:t>
      </w:r>
    </w:p>
    <w:p w14:paraId="6B34A3CE" w14:textId="4161353E" w:rsidR="00173E5F" w:rsidRPr="0028248B" w:rsidRDefault="00173E5F"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w:t>
      </w:r>
      <w:r w:rsidR="00E60CF4" w:rsidRPr="0028248B">
        <w:rPr>
          <w:rFonts w:eastAsiaTheme="majorEastAsia" w:cstheme="majorBidi"/>
          <w:sz w:val="22"/>
          <w:szCs w:val="22"/>
        </w:rPr>
        <w:t>8</w:t>
      </w:r>
      <w:r w:rsidRPr="0028248B">
        <w:rPr>
          <w:rFonts w:eastAsiaTheme="majorEastAsia" w:cstheme="majorBidi"/>
          <w:sz w:val="22"/>
          <w:szCs w:val="22"/>
        </w:rPr>
        <w:tab/>
        <w:t xml:space="preserve">Appropriate fire detection and protection equipment shall be installed throughout the facility, regularly serviced, and supported by a documented fire prevention and control procedure. </w:t>
      </w:r>
      <w:r w:rsidR="0016489E" w:rsidRPr="0028248B">
        <w:rPr>
          <w:rFonts w:eastAsiaTheme="majorEastAsia" w:cstheme="majorBidi"/>
          <w:sz w:val="22"/>
          <w:szCs w:val="22"/>
        </w:rPr>
        <w:t>E</w:t>
      </w:r>
      <w:r w:rsidRPr="0028248B">
        <w:rPr>
          <w:rFonts w:eastAsiaTheme="majorEastAsia" w:cstheme="majorBidi"/>
          <w:sz w:val="22"/>
          <w:szCs w:val="22"/>
        </w:rPr>
        <w:t>quipment service records shall be maintained.</w:t>
      </w:r>
    </w:p>
    <w:p w14:paraId="5D7D179C" w14:textId="60E5C776" w:rsidR="00173E5F" w:rsidRPr="0028248B" w:rsidRDefault="00173E5F"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w:t>
      </w:r>
      <w:r w:rsidR="00E60CF4" w:rsidRPr="0028248B">
        <w:rPr>
          <w:rFonts w:eastAsiaTheme="majorEastAsia" w:cstheme="majorBidi"/>
          <w:sz w:val="22"/>
          <w:szCs w:val="22"/>
        </w:rPr>
        <w:t>9</w:t>
      </w:r>
      <w:r w:rsidRPr="0028248B">
        <w:rPr>
          <w:rFonts w:eastAsiaTheme="majorEastAsia" w:cstheme="majorBidi"/>
          <w:sz w:val="22"/>
          <w:szCs w:val="22"/>
        </w:rPr>
        <w:tab/>
      </w:r>
      <w:r w:rsidR="00564A78" w:rsidRPr="0028248B">
        <w:rPr>
          <w:rFonts w:eastAsiaTheme="majorEastAsia" w:cstheme="majorBidi"/>
          <w:sz w:val="22"/>
          <w:szCs w:val="22"/>
        </w:rPr>
        <w:t xml:space="preserve">The area of the section to be used as dispensary (excluding the shelving space) shall not be less than </w:t>
      </w:r>
      <w:r w:rsidR="00216550" w:rsidRPr="0028248B">
        <w:rPr>
          <w:rFonts w:eastAsiaTheme="majorEastAsia" w:cstheme="majorBidi"/>
          <w:sz w:val="22"/>
          <w:szCs w:val="22"/>
        </w:rPr>
        <w:t xml:space="preserve">Six </w:t>
      </w:r>
      <w:r w:rsidR="009B1690" w:rsidRPr="0028248B">
        <w:rPr>
          <w:rFonts w:eastAsiaTheme="majorEastAsia" w:cstheme="majorBidi"/>
          <w:sz w:val="22"/>
          <w:szCs w:val="22"/>
        </w:rPr>
        <w:t>(</w:t>
      </w:r>
      <w:r w:rsidR="00564A78" w:rsidRPr="0028248B">
        <w:rPr>
          <w:rFonts w:eastAsiaTheme="majorEastAsia" w:cstheme="majorBidi"/>
          <w:sz w:val="22"/>
          <w:szCs w:val="22"/>
        </w:rPr>
        <w:t>6</w:t>
      </w:r>
      <w:r w:rsidR="00216550" w:rsidRPr="0028248B">
        <w:rPr>
          <w:rFonts w:eastAsiaTheme="majorEastAsia" w:cstheme="majorBidi"/>
          <w:sz w:val="22"/>
          <w:szCs w:val="22"/>
        </w:rPr>
        <w:t>)</w:t>
      </w:r>
      <w:r w:rsidR="00564A78" w:rsidRPr="0028248B">
        <w:rPr>
          <w:rFonts w:eastAsiaTheme="majorEastAsia" w:cstheme="majorBidi"/>
          <w:sz w:val="22"/>
          <w:szCs w:val="22"/>
        </w:rPr>
        <w:t xml:space="preserve"> square metres for one</w:t>
      </w:r>
      <w:r w:rsidR="00897416" w:rsidRPr="0028248B">
        <w:rPr>
          <w:rFonts w:eastAsiaTheme="majorEastAsia" w:cstheme="majorBidi"/>
          <w:sz w:val="22"/>
          <w:szCs w:val="22"/>
        </w:rPr>
        <w:t xml:space="preserve"> (1)</w:t>
      </w:r>
      <w:r w:rsidR="00564A78" w:rsidRPr="0028248B">
        <w:rPr>
          <w:rFonts w:eastAsiaTheme="majorEastAsia" w:cstheme="majorBidi"/>
          <w:sz w:val="22"/>
          <w:szCs w:val="22"/>
        </w:rPr>
        <w:t xml:space="preserve"> </w:t>
      </w:r>
      <w:r w:rsidR="00E60CF4" w:rsidRPr="0028248B">
        <w:rPr>
          <w:rFonts w:eastAsiaTheme="majorEastAsia" w:cstheme="majorBidi"/>
          <w:sz w:val="22"/>
          <w:szCs w:val="22"/>
        </w:rPr>
        <w:t>P</w:t>
      </w:r>
      <w:r w:rsidR="00564A78" w:rsidRPr="0028248B">
        <w:rPr>
          <w:rFonts w:eastAsiaTheme="majorEastAsia" w:cstheme="majorBidi"/>
          <w:sz w:val="22"/>
          <w:szCs w:val="22"/>
        </w:rPr>
        <w:t xml:space="preserve">harmacist working there, with additional </w:t>
      </w:r>
      <w:r w:rsidR="009B1690" w:rsidRPr="0028248B">
        <w:rPr>
          <w:rFonts w:eastAsiaTheme="majorEastAsia" w:cstheme="majorBidi"/>
          <w:sz w:val="22"/>
          <w:szCs w:val="22"/>
        </w:rPr>
        <w:t>two (</w:t>
      </w:r>
      <w:r w:rsidR="00564A78" w:rsidRPr="0028248B">
        <w:rPr>
          <w:rFonts w:eastAsiaTheme="majorEastAsia" w:cstheme="majorBidi"/>
          <w:sz w:val="22"/>
          <w:szCs w:val="22"/>
        </w:rPr>
        <w:t>2</w:t>
      </w:r>
      <w:r w:rsidR="009B1690" w:rsidRPr="0028248B">
        <w:rPr>
          <w:rFonts w:eastAsiaTheme="majorEastAsia" w:cstheme="majorBidi"/>
          <w:sz w:val="22"/>
          <w:szCs w:val="22"/>
        </w:rPr>
        <w:t>)</w:t>
      </w:r>
      <w:r w:rsidR="00564A78" w:rsidRPr="0028248B">
        <w:rPr>
          <w:rFonts w:eastAsiaTheme="majorEastAsia" w:cstheme="majorBidi"/>
          <w:sz w:val="22"/>
          <w:szCs w:val="22"/>
        </w:rPr>
        <w:t xml:space="preserve"> square metres for each additional pharmacist (Sufficient space should be provided in the dispensary to ensure an efficient flow of work and effective communication and supervision)</w:t>
      </w:r>
      <w:r w:rsidR="00E55CB1" w:rsidRPr="0028248B">
        <w:rPr>
          <w:rFonts w:eastAsiaTheme="majorEastAsia" w:cstheme="majorBidi"/>
          <w:sz w:val="22"/>
          <w:szCs w:val="22"/>
        </w:rPr>
        <w:t xml:space="preserve"> (these are </w:t>
      </w:r>
      <w:r w:rsidR="00846953" w:rsidRPr="0028248B">
        <w:rPr>
          <w:rFonts w:eastAsiaTheme="majorEastAsia" w:cstheme="majorBidi"/>
          <w:sz w:val="22"/>
          <w:szCs w:val="22"/>
        </w:rPr>
        <w:t>guidance</w:t>
      </w:r>
      <w:r w:rsidR="00E55CB1" w:rsidRPr="0028248B">
        <w:rPr>
          <w:rFonts w:eastAsiaTheme="majorEastAsia" w:cstheme="majorBidi"/>
          <w:sz w:val="22"/>
          <w:szCs w:val="22"/>
        </w:rPr>
        <w:t xml:space="preserve"> value</w:t>
      </w:r>
      <w:r w:rsidR="00846953" w:rsidRPr="0028248B">
        <w:rPr>
          <w:rFonts w:eastAsiaTheme="majorEastAsia" w:cstheme="majorBidi"/>
          <w:sz w:val="22"/>
          <w:szCs w:val="22"/>
        </w:rPr>
        <w:t>s</w:t>
      </w:r>
      <w:r w:rsidR="00E55CB1" w:rsidRPr="0028248B">
        <w:rPr>
          <w:rFonts w:eastAsiaTheme="majorEastAsia" w:cstheme="majorBidi"/>
          <w:sz w:val="22"/>
          <w:szCs w:val="22"/>
        </w:rPr>
        <w:t>)</w:t>
      </w:r>
      <w:r w:rsidR="00846953" w:rsidRPr="0028248B">
        <w:rPr>
          <w:rFonts w:eastAsiaTheme="majorEastAsia" w:cstheme="majorBidi"/>
          <w:sz w:val="22"/>
          <w:szCs w:val="22"/>
        </w:rPr>
        <w:t>.</w:t>
      </w:r>
    </w:p>
    <w:p w14:paraId="114CDD11" w14:textId="33B17FA7" w:rsidR="00564A78" w:rsidRPr="0028248B" w:rsidRDefault="00564A78"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w:t>
      </w:r>
      <w:r w:rsidR="00E60CF4" w:rsidRPr="0028248B">
        <w:rPr>
          <w:rFonts w:eastAsiaTheme="majorEastAsia" w:cstheme="majorBidi"/>
          <w:sz w:val="22"/>
          <w:szCs w:val="22"/>
        </w:rPr>
        <w:t>10</w:t>
      </w:r>
      <w:r w:rsidRPr="0028248B">
        <w:rPr>
          <w:rFonts w:eastAsiaTheme="majorEastAsia" w:cstheme="majorBidi"/>
          <w:sz w:val="22"/>
          <w:szCs w:val="22"/>
        </w:rPr>
        <w:tab/>
        <w:t xml:space="preserve">A suitable door with minimum height of 900mm shall be used to separate the dispensing area from the other areas. The door shall be lockable to render the dispensary inaccessible in the absence of a </w:t>
      </w:r>
      <w:r w:rsidR="00E60CF4" w:rsidRPr="0028248B">
        <w:rPr>
          <w:rFonts w:eastAsiaTheme="majorEastAsia" w:cstheme="majorBidi"/>
          <w:sz w:val="22"/>
          <w:szCs w:val="22"/>
        </w:rPr>
        <w:t>P</w:t>
      </w:r>
      <w:r w:rsidRPr="0028248B">
        <w:rPr>
          <w:rFonts w:eastAsiaTheme="majorEastAsia" w:cstheme="majorBidi"/>
          <w:sz w:val="22"/>
          <w:szCs w:val="22"/>
        </w:rPr>
        <w:t xml:space="preserve">harmacist. </w:t>
      </w:r>
    </w:p>
    <w:p w14:paraId="7DBD61E5" w14:textId="3B7AFCFD" w:rsidR="00564A78" w:rsidRPr="0028248B" w:rsidRDefault="00564A78"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E60CF4" w:rsidRPr="0028248B">
        <w:rPr>
          <w:rFonts w:eastAsiaTheme="majorEastAsia" w:cstheme="majorBidi"/>
          <w:sz w:val="22"/>
          <w:szCs w:val="22"/>
        </w:rPr>
        <w:t>1</w:t>
      </w:r>
      <w:r w:rsidRPr="0028248B">
        <w:rPr>
          <w:rFonts w:eastAsiaTheme="majorEastAsia" w:cstheme="majorBidi"/>
          <w:sz w:val="22"/>
          <w:szCs w:val="22"/>
        </w:rPr>
        <w:tab/>
        <w:t xml:space="preserve">The dispensary shelves should be designed such that they discourage members of the public from reading the labels of prescription drugs. </w:t>
      </w:r>
    </w:p>
    <w:p w14:paraId="071A472C" w14:textId="0F74801C" w:rsidR="00564A78" w:rsidRPr="0028248B" w:rsidRDefault="00705A87"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E60CF4" w:rsidRPr="0028248B">
        <w:rPr>
          <w:rFonts w:eastAsiaTheme="majorEastAsia" w:cstheme="majorBidi"/>
          <w:sz w:val="22"/>
          <w:szCs w:val="22"/>
        </w:rPr>
        <w:t>2</w:t>
      </w:r>
      <w:r w:rsidRPr="0028248B">
        <w:rPr>
          <w:rFonts w:eastAsiaTheme="majorEastAsia" w:cstheme="majorBidi"/>
          <w:sz w:val="22"/>
          <w:szCs w:val="22"/>
        </w:rPr>
        <w:tab/>
      </w:r>
      <w:r w:rsidR="00564A78" w:rsidRPr="0028248B">
        <w:rPr>
          <w:rFonts w:eastAsiaTheme="majorEastAsia" w:cstheme="majorBidi"/>
          <w:sz w:val="22"/>
          <w:szCs w:val="22"/>
        </w:rPr>
        <w:t xml:space="preserve">A waiting area shall be provided and labelled as such. The area shall be at least </w:t>
      </w:r>
      <w:r w:rsidR="002E7C6F">
        <w:rPr>
          <w:rFonts w:eastAsiaTheme="majorEastAsia" w:cstheme="majorBidi"/>
          <w:sz w:val="22"/>
          <w:szCs w:val="22"/>
        </w:rPr>
        <w:t xml:space="preserve">two </w:t>
      </w:r>
      <w:r w:rsidR="0028248B">
        <w:rPr>
          <w:rFonts w:eastAsiaTheme="majorEastAsia" w:cstheme="majorBidi"/>
          <w:sz w:val="22"/>
          <w:szCs w:val="22"/>
        </w:rPr>
        <w:t>(</w:t>
      </w:r>
      <w:r w:rsidR="00564A78" w:rsidRPr="0028248B">
        <w:rPr>
          <w:rFonts w:eastAsiaTheme="majorEastAsia" w:cstheme="majorBidi"/>
          <w:sz w:val="22"/>
          <w:szCs w:val="22"/>
        </w:rPr>
        <w:t>2</w:t>
      </w:r>
      <w:r w:rsidR="002E7C6F">
        <w:rPr>
          <w:rFonts w:eastAsiaTheme="majorEastAsia" w:cstheme="majorBidi"/>
          <w:sz w:val="22"/>
          <w:szCs w:val="22"/>
        </w:rPr>
        <w:t>)</w:t>
      </w:r>
      <w:r w:rsidR="00564A78" w:rsidRPr="0028248B">
        <w:rPr>
          <w:rFonts w:eastAsiaTheme="majorEastAsia" w:cstheme="majorBidi"/>
          <w:sz w:val="22"/>
          <w:szCs w:val="22"/>
        </w:rPr>
        <w:t xml:space="preserve"> meters away from the dispensing space/ dispensary to allow for privacy.</w:t>
      </w:r>
    </w:p>
    <w:p w14:paraId="36AFEB3C" w14:textId="09114B76" w:rsidR="00705A87" w:rsidRPr="0028248B" w:rsidRDefault="00705A87"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E60CF4" w:rsidRPr="0028248B">
        <w:rPr>
          <w:rFonts w:eastAsiaTheme="majorEastAsia" w:cstheme="majorBidi"/>
          <w:sz w:val="22"/>
          <w:szCs w:val="22"/>
        </w:rPr>
        <w:t>3</w:t>
      </w:r>
      <w:r w:rsidRPr="0028248B">
        <w:rPr>
          <w:rFonts w:eastAsiaTheme="majorEastAsia" w:cstheme="majorBidi"/>
          <w:sz w:val="22"/>
          <w:szCs w:val="22"/>
        </w:rPr>
        <w:tab/>
        <w:t>A room for confidential counselling shall be provided. Its dimensions shall be at least three-square meters and be able to accommodate two chairs and a table. It should be made of solid material, and adjacent to the dispensing area.</w:t>
      </w:r>
    </w:p>
    <w:p w14:paraId="10884295" w14:textId="77889BA5" w:rsidR="00F356CF" w:rsidRPr="0028248B" w:rsidRDefault="00F356CF"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E60CF4" w:rsidRPr="0028248B">
        <w:rPr>
          <w:rFonts w:eastAsiaTheme="majorEastAsia" w:cstheme="majorBidi"/>
          <w:sz w:val="22"/>
          <w:szCs w:val="22"/>
        </w:rPr>
        <w:t>4</w:t>
      </w:r>
      <w:r w:rsidRPr="0028248B">
        <w:rPr>
          <w:rFonts w:eastAsiaTheme="majorEastAsia" w:cstheme="majorBidi"/>
          <w:sz w:val="22"/>
          <w:szCs w:val="22"/>
        </w:rPr>
        <w:tab/>
        <w:t>A sink with adequate supply of hot and cold running water shall be provided within the dispensing area for washing hands, apparatus, etc. (some detergent and a means of drying hands, except cloths, should be provided).</w:t>
      </w:r>
    </w:p>
    <w:p w14:paraId="19744149" w14:textId="4EC80878" w:rsidR="00A974E2" w:rsidRPr="0028248B" w:rsidRDefault="00A974E2"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lastRenderedPageBreak/>
        <w:t>8.1.1</w:t>
      </w:r>
      <w:r w:rsidR="00A74A99" w:rsidRPr="0028248B">
        <w:rPr>
          <w:rFonts w:eastAsiaTheme="majorEastAsia" w:cstheme="majorBidi"/>
          <w:sz w:val="22"/>
          <w:szCs w:val="22"/>
        </w:rPr>
        <w:t>5</w:t>
      </w:r>
      <w:r w:rsidRPr="0028248B">
        <w:rPr>
          <w:rFonts w:eastAsiaTheme="majorEastAsia" w:cstheme="majorBidi"/>
          <w:sz w:val="22"/>
          <w:szCs w:val="22"/>
        </w:rPr>
        <w:tab/>
        <w:t xml:space="preserve">A pharmacy shall be equipped with a dispensing bench, the top of which shall be covered with smooth washable and impervious material like stainless steel, laminated material, plastic, melamine, Formica etc. </w:t>
      </w:r>
    </w:p>
    <w:p w14:paraId="455B8968" w14:textId="1DB16B92" w:rsidR="00A974E2" w:rsidRPr="0028248B" w:rsidRDefault="00A974E2" w:rsidP="00C87841">
      <w:pPr>
        <w:spacing w:after="0" w:line="240" w:lineRule="auto"/>
        <w:jc w:val="both"/>
        <w:rPr>
          <w:rFonts w:eastAsiaTheme="majorEastAsia" w:cstheme="majorBidi"/>
          <w:sz w:val="22"/>
          <w:szCs w:val="22"/>
        </w:rPr>
      </w:pPr>
    </w:p>
    <w:p w14:paraId="21FE65ED" w14:textId="3A786EF2" w:rsidR="00512027" w:rsidRPr="0028248B" w:rsidRDefault="00512027"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C87841">
        <w:rPr>
          <w:rFonts w:eastAsiaTheme="majorEastAsia" w:cstheme="majorBidi"/>
          <w:sz w:val="22"/>
          <w:szCs w:val="22"/>
        </w:rPr>
        <w:t>6</w:t>
      </w:r>
      <w:r w:rsidRPr="0028248B">
        <w:rPr>
          <w:rFonts w:eastAsiaTheme="majorEastAsia" w:cstheme="majorBidi"/>
          <w:sz w:val="22"/>
          <w:szCs w:val="22"/>
        </w:rPr>
        <w:tab/>
      </w:r>
      <w:r w:rsidR="00EB6F4A" w:rsidRPr="0028248B">
        <w:rPr>
          <w:rFonts w:eastAsiaTheme="majorEastAsia" w:cstheme="majorBidi"/>
          <w:sz w:val="22"/>
          <w:szCs w:val="22"/>
        </w:rPr>
        <w:t xml:space="preserve">There should be sufficient security measures in place in the pharmacy. </w:t>
      </w:r>
    </w:p>
    <w:p w14:paraId="7BF8744D" w14:textId="39450884" w:rsidR="00957961" w:rsidRPr="0028248B" w:rsidRDefault="00957961"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C87841">
        <w:rPr>
          <w:rFonts w:eastAsiaTheme="majorEastAsia" w:cstheme="majorBidi"/>
          <w:sz w:val="22"/>
          <w:szCs w:val="22"/>
        </w:rPr>
        <w:t>7</w:t>
      </w:r>
      <w:r w:rsidRPr="0028248B">
        <w:rPr>
          <w:rFonts w:eastAsiaTheme="majorEastAsia" w:cstheme="majorBidi"/>
          <w:sz w:val="22"/>
          <w:szCs w:val="22"/>
        </w:rPr>
        <w:tab/>
        <w:t>Schedule1, 2 and 3 medicines shall always be stored in the dispensary, whereas schedule 4 can be stored in the front shop (if any).</w:t>
      </w:r>
    </w:p>
    <w:p w14:paraId="683A6E95" w14:textId="28647830" w:rsidR="00957961" w:rsidRPr="0028248B" w:rsidRDefault="00957961"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8.1.1</w:t>
      </w:r>
      <w:r w:rsidR="00C87841">
        <w:rPr>
          <w:rFonts w:eastAsiaTheme="majorEastAsia" w:cstheme="majorBidi"/>
          <w:sz w:val="22"/>
          <w:szCs w:val="22"/>
        </w:rPr>
        <w:t>8</w:t>
      </w:r>
      <w:r w:rsidRPr="0028248B">
        <w:rPr>
          <w:rFonts w:eastAsiaTheme="majorEastAsia" w:cstheme="majorBidi"/>
          <w:sz w:val="22"/>
          <w:szCs w:val="22"/>
        </w:rPr>
        <w:tab/>
        <w:t>Schedule 2 medicines shall be stored in a way that patients cannot read their labels.</w:t>
      </w:r>
    </w:p>
    <w:p w14:paraId="22FFAC97" w14:textId="77777777" w:rsidR="00173E5F" w:rsidRPr="0028248B" w:rsidRDefault="00173E5F" w:rsidP="00CA5F2C">
      <w:pPr>
        <w:spacing w:after="0" w:line="240" w:lineRule="auto"/>
        <w:jc w:val="both"/>
        <w:rPr>
          <w:rFonts w:eastAsiaTheme="majorEastAsia" w:cstheme="majorBidi"/>
        </w:rPr>
      </w:pPr>
    </w:p>
    <w:p w14:paraId="458CEC6E" w14:textId="77777777" w:rsidR="00173E5F" w:rsidRPr="0028248B" w:rsidRDefault="00173E5F" w:rsidP="00CA5F2C">
      <w:pPr>
        <w:spacing w:after="0" w:line="240" w:lineRule="auto"/>
        <w:ind w:left="720" w:hanging="720"/>
        <w:jc w:val="both"/>
        <w:rPr>
          <w:rFonts w:eastAsiaTheme="majorEastAsia" w:cstheme="majorBidi"/>
        </w:rPr>
      </w:pPr>
      <w:r w:rsidRPr="0028248B">
        <w:rPr>
          <w:rFonts w:eastAsiaTheme="majorEastAsia" w:cstheme="majorBidi"/>
          <w:b/>
        </w:rPr>
        <w:t>8.</w:t>
      </w:r>
      <w:r w:rsidRPr="0028248B">
        <w:rPr>
          <w:rFonts w:eastAsiaTheme="majorEastAsia" w:cstheme="majorBidi"/>
          <w:b/>
          <w:bCs/>
        </w:rPr>
        <w:t>2</w:t>
      </w:r>
      <w:r w:rsidRPr="0028248B">
        <w:rPr>
          <w:rFonts w:eastAsiaTheme="majorEastAsia" w:cstheme="majorBidi"/>
          <w:b/>
        </w:rPr>
        <w:t xml:space="preserve"> Temperature Control, Cold Chain &amp; Transportation</w:t>
      </w:r>
    </w:p>
    <w:p w14:paraId="4A570E0E" w14:textId="77777777" w:rsidR="00173E5F" w:rsidRPr="0028248B" w:rsidRDefault="00173E5F" w:rsidP="00CA5F2C">
      <w:pPr>
        <w:spacing w:after="0" w:line="240" w:lineRule="auto"/>
        <w:ind w:left="720" w:hanging="720"/>
        <w:jc w:val="both"/>
        <w:rPr>
          <w:rFonts w:eastAsiaTheme="majorEastAsia" w:cstheme="majorBidi"/>
          <w:b/>
        </w:rPr>
      </w:pPr>
    </w:p>
    <w:p w14:paraId="08C2FD9D" w14:textId="77777777" w:rsidR="00173E5F" w:rsidRPr="0028248B" w:rsidRDefault="00173E5F"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8.2.1 </w:t>
      </w:r>
      <w:r w:rsidRPr="0028248B">
        <w:rPr>
          <w:rFonts w:eastAsiaTheme="majorEastAsia" w:cstheme="majorBidi"/>
          <w:sz w:val="22"/>
          <w:szCs w:val="22"/>
        </w:rPr>
        <w:tab/>
        <w:t>All medicinal product storage areas and refrigeration units shall be equipped with continuous temperature monitoring devices recording at a minimum frequency of six (6) times per hour per sensor. Temperature monitoring records shall be retained for a minimum of six (6) months and made available to the Authority upon request.</w:t>
      </w:r>
    </w:p>
    <w:p w14:paraId="3B88314C" w14:textId="4EE00A82" w:rsidR="00173E5F" w:rsidRPr="0028248B" w:rsidRDefault="00173E5F"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8.2.2</w:t>
      </w:r>
      <w:r w:rsidRPr="0028248B">
        <w:rPr>
          <w:rFonts w:eastAsiaTheme="majorEastAsia" w:cstheme="majorBidi"/>
          <w:sz w:val="22"/>
          <w:szCs w:val="22"/>
        </w:rPr>
        <w:tab/>
        <w:t>Ambient storage areas shall maintain temperatures between 15 – 30°C. Products requiring protection from moisture shall be stored at no more than 60% relative humidity. Cold chain products shall be stored within the following ranges, or in accordance with the manufacturer's recommendations:</w:t>
      </w:r>
    </w:p>
    <w:p w14:paraId="72D81277" w14:textId="77777777" w:rsidR="00173E5F" w:rsidRPr="0028248B" w:rsidRDefault="00173E5F" w:rsidP="00CA5F2C">
      <w:pPr>
        <w:numPr>
          <w:ilvl w:val="0"/>
          <w:numId w:val="31"/>
        </w:numPr>
        <w:spacing w:after="0" w:line="240" w:lineRule="auto"/>
        <w:contextualSpacing/>
        <w:jc w:val="both"/>
        <w:rPr>
          <w:rFonts w:eastAsiaTheme="majorEastAsia" w:cstheme="majorBidi"/>
          <w:sz w:val="22"/>
          <w:szCs w:val="22"/>
        </w:rPr>
      </w:pPr>
      <w:r w:rsidRPr="0028248B">
        <w:rPr>
          <w:rFonts w:eastAsiaTheme="majorEastAsia" w:cstheme="majorBidi"/>
          <w:sz w:val="22"/>
          <w:szCs w:val="22"/>
        </w:rPr>
        <w:t>Refrigerated products: 2 – 8°C</w:t>
      </w:r>
    </w:p>
    <w:p w14:paraId="6649419C" w14:textId="77777777" w:rsidR="00173E5F" w:rsidRPr="0028248B" w:rsidRDefault="00173E5F" w:rsidP="00CA5F2C">
      <w:pPr>
        <w:numPr>
          <w:ilvl w:val="0"/>
          <w:numId w:val="31"/>
        </w:numPr>
        <w:spacing w:after="0" w:line="240" w:lineRule="auto"/>
        <w:contextualSpacing/>
        <w:jc w:val="both"/>
        <w:rPr>
          <w:rFonts w:eastAsiaTheme="majorEastAsia" w:cstheme="majorBidi"/>
          <w:sz w:val="22"/>
          <w:szCs w:val="22"/>
        </w:rPr>
      </w:pPr>
      <w:r w:rsidRPr="0028248B">
        <w:rPr>
          <w:rFonts w:eastAsiaTheme="majorEastAsia" w:cstheme="majorBidi"/>
          <w:sz w:val="22"/>
          <w:szCs w:val="22"/>
        </w:rPr>
        <w:t>Freezer products: -20 ± 5°C</w:t>
      </w:r>
    </w:p>
    <w:p w14:paraId="2366EA8B" w14:textId="77777777" w:rsidR="00173E5F" w:rsidRPr="0028248B" w:rsidRDefault="00173E5F" w:rsidP="00CA5F2C">
      <w:pPr>
        <w:numPr>
          <w:ilvl w:val="0"/>
          <w:numId w:val="31"/>
        </w:numPr>
        <w:spacing w:after="0" w:line="240" w:lineRule="auto"/>
        <w:contextualSpacing/>
        <w:jc w:val="both"/>
        <w:rPr>
          <w:rFonts w:eastAsiaTheme="majorEastAsia" w:cstheme="majorBidi"/>
          <w:sz w:val="22"/>
          <w:szCs w:val="22"/>
        </w:rPr>
      </w:pPr>
      <w:r w:rsidRPr="0028248B">
        <w:rPr>
          <w:rFonts w:eastAsiaTheme="majorEastAsia" w:cstheme="majorBidi"/>
          <w:sz w:val="22"/>
          <w:szCs w:val="22"/>
        </w:rPr>
        <w:t>Deep freezer products: -70 ± 10°C</w:t>
      </w:r>
    </w:p>
    <w:p w14:paraId="3E40AD6A" w14:textId="77777777"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8.2.3</w:t>
      </w:r>
      <w:r w:rsidRPr="0028248B">
        <w:rPr>
          <w:rFonts w:eastAsia="Calibri" w:cs="Arial"/>
          <w:sz w:val="22"/>
          <w:szCs w:val="22"/>
        </w:rPr>
        <w:tab/>
        <w:t>All temperature monitoring devices shall be calibrated annually against a certified, traceable reference standard, or as recommended by the device manufacturer. Calibration records shall be maintained.</w:t>
      </w:r>
    </w:p>
    <w:p w14:paraId="524989F5" w14:textId="77777777"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8.2.4</w:t>
      </w:r>
      <w:r w:rsidRPr="0028248B">
        <w:rPr>
          <w:rFonts w:eastAsia="Calibri" w:cs="Arial"/>
          <w:sz w:val="22"/>
          <w:szCs w:val="22"/>
        </w:rPr>
        <w:tab/>
        <w:t>Temperature mapping shall be conducted in all medicinal product storage areas, including refrigeration equipment and transport vehicles, in accordance with Good Storage and Distribution Practices requirements.</w:t>
      </w:r>
    </w:p>
    <w:p w14:paraId="6A3E5CA9" w14:textId="77777777"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8.2.5</w:t>
      </w:r>
      <w:r w:rsidRPr="0028248B">
        <w:rPr>
          <w:rFonts w:eastAsia="Calibri" w:cs="Arial"/>
          <w:sz w:val="22"/>
          <w:szCs w:val="22"/>
        </w:rPr>
        <w:tab/>
        <w:t>Refrigerators, cold rooms, and freezers shall be dedicated solely to medicinal product storage, equipped with access controls and alert systems to notify personnel of out-of-range temperatures. All cold chain equipment shall be regularly serviced and service records maintained.</w:t>
      </w:r>
    </w:p>
    <w:p w14:paraId="7575A55E" w14:textId="471F68FB"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8.2.6</w:t>
      </w:r>
      <w:r w:rsidRPr="0028248B">
        <w:rPr>
          <w:rFonts w:eastAsia="Calibri" w:cs="Arial"/>
          <w:sz w:val="22"/>
          <w:szCs w:val="22"/>
        </w:rPr>
        <w:tab/>
        <w:t xml:space="preserve">Upon receipt of cold chain products, the </w:t>
      </w:r>
      <w:r w:rsidR="00AF0589" w:rsidRPr="0028248B">
        <w:rPr>
          <w:rFonts w:eastAsia="Calibri" w:cs="Arial"/>
          <w:sz w:val="22"/>
          <w:szCs w:val="22"/>
        </w:rPr>
        <w:t>pharmacy</w:t>
      </w:r>
      <w:r w:rsidRPr="0028248B">
        <w:rPr>
          <w:rFonts w:eastAsia="Calibri" w:cs="Arial"/>
          <w:sz w:val="22"/>
          <w:szCs w:val="22"/>
        </w:rPr>
        <w:t xml:space="preserve"> shall verify and document that the required storage temperatures were maintained throughout transportation prior to acceptance of the consignment.</w:t>
      </w:r>
    </w:p>
    <w:p w14:paraId="3D560F85" w14:textId="77777777"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8.2.7</w:t>
      </w:r>
      <w:r w:rsidRPr="0028248B">
        <w:rPr>
          <w:rFonts w:eastAsia="Calibri" w:cs="Arial"/>
          <w:sz w:val="22"/>
          <w:szCs w:val="22"/>
        </w:rPr>
        <w:tab/>
        <w:t>Medicinal products shall be transported under appropriate temperature-controlled conditions, with continuous temperature monitoring at a minimum recording frequency of six (6) times per hour per sensor. Transport vehicle storage areas shall be temperature-mapped prior to use for medicinal product distribution.</w:t>
      </w:r>
    </w:p>
    <w:p w14:paraId="299E2B46" w14:textId="3A5A22A0" w:rsidR="00173E5F" w:rsidRPr="0028248B" w:rsidRDefault="00173E5F" w:rsidP="00CA5F2C">
      <w:pPr>
        <w:spacing w:after="0" w:line="240" w:lineRule="auto"/>
        <w:ind w:left="720" w:hanging="720"/>
        <w:jc w:val="both"/>
        <w:rPr>
          <w:rFonts w:eastAsia="Calibri" w:cs="Arial"/>
          <w:b/>
          <w:sz w:val="22"/>
          <w:szCs w:val="22"/>
        </w:rPr>
      </w:pPr>
      <w:r w:rsidRPr="0028248B">
        <w:rPr>
          <w:rFonts w:eastAsia="Calibri" w:cs="Arial"/>
          <w:sz w:val="22"/>
          <w:szCs w:val="22"/>
        </w:rPr>
        <w:t>8.2.8</w:t>
      </w:r>
      <w:r w:rsidRPr="0028248B">
        <w:rPr>
          <w:rFonts w:eastAsia="Calibri" w:cs="Arial"/>
          <w:sz w:val="22"/>
          <w:szCs w:val="22"/>
        </w:rPr>
        <w:tab/>
        <w:t>Where third-party carriers are used for the transportation of medicinal products, the</w:t>
      </w:r>
      <w:r w:rsidR="002D56D6" w:rsidRPr="0028248B">
        <w:rPr>
          <w:rFonts w:eastAsia="Calibri" w:cs="Arial"/>
          <w:sz w:val="22"/>
          <w:szCs w:val="22"/>
        </w:rPr>
        <w:t xml:space="preserve"> pharmacy</w:t>
      </w:r>
      <w:r w:rsidRPr="0028248B">
        <w:rPr>
          <w:rFonts w:eastAsia="Calibri" w:cs="Arial"/>
          <w:sz w:val="22"/>
          <w:szCs w:val="22"/>
        </w:rPr>
        <w:t xml:space="preserve"> shall have in place written agreements with such carriers specifying and ensuring compliance with all applicable temperature control, monitoring, and documentation requirements set out in these Guidelines</w:t>
      </w:r>
      <w:r w:rsidRPr="0028248B">
        <w:rPr>
          <w:rFonts w:eastAsia="Calibri" w:cs="Arial"/>
          <w:b/>
          <w:sz w:val="22"/>
          <w:szCs w:val="22"/>
        </w:rPr>
        <w:t>.</w:t>
      </w:r>
    </w:p>
    <w:p w14:paraId="33EEDA9F" w14:textId="77777777" w:rsidR="00173E5F" w:rsidRPr="0028248B" w:rsidRDefault="00173E5F" w:rsidP="00D30BAF">
      <w:pPr>
        <w:keepNext/>
        <w:keepLines/>
        <w:spacing w:after="120"/>
        <w:jc w:val="both"/>
        <w:outlineLvl w:val="1"/>
        <w:rPr>
          <w:rFonts w:eastAsiaTheme="majorEastAsia" w:cstheme="majorBidi"/>
          <w:b/>
          <w:bCs/>
        </w:rPr>
      </w:pPr>
      <w:bookmarkStart w:id="40" w:name="_Hlk19197205"/>
    </w:p>
    <w:p w14:paraId="6D45D675" w14:textId="77777777" w:rsidR="00173E5F" w:rsidRPr="0028248B" w:rsidRDefault="00173E5F" w:rsidP="00D30BAF">
      <w:pPr>
        <w:keepNext/>
        <w:keepLines/>
        <w:spacing w:after="120"/>
        <w:jc w:val="both"/>
        <w:outlineLvl w:val="1"/>
        <w:rPr>
          <w:rFonts w:eastAsiaTheme="majorEastAsia" w:cstheme="majorBidi"/>
          <w:b/>
          <w:bCs/>
        </w:rPr>
      </w:pPr>
      <w:bookmarkStart w:id="41" w:name="_Toc226717487"/>
      <w:bookmarkStart w:id="42" w:name="_Toc227072335"/>
      <w:r w:rsidRPr="0028248B">
        <w:rPr>
          <w:rFonts w:eastAsiaTheme="majorEastAsia" w:cstheme="majorBidi"/>
          <w:b/>
          <w:bCs/>
        </w:rPr>
        <w:t>8.3 Controlled Substances</w:t>
      </w:r>
      <w:bookmarkEnd w:id="41"/>
      <w:bookmarkEnd w:id="42"/>
    </w:p>
    <w:p w14:paraId="2B413866" w14:textId="2D9FC09F"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8.3.1</w:t>
      </w:r>
      <w:r w:rsidRPr="0028248B">
        <w:rPr>
          <w:rFonts w:eastAsia="Calibri" w:cs="Arial"/>
          <w:sz w:val="22"/>
          <w:szCs w:val="22"/>
        </w:rPr>
        <w:tab/>
        <w:t xml:space="preserve">Controlled substances shall be stored in dedicated storage areas with restricted access or in securely bolted and locked steel cabinets. Access controls or keys shall be held exclusively by the responsible </w:t>
      </w:r>
      <w:r w:rsidR="00D30BAF" w:rsidRPr="0028248B">
        <w:rPr>
          <w:rFonts w:eastAsia="Calibri" w:cs="Arial"/>
          <w:sz w:val="22"/>
          <w:szCs w:val="22"/>
        </w:rPr>
        <w:t>P</w:t>
      </w:r>
      <w:r w:rsidRPr="0028248B">
        <w:rPr>
          <w:rFonts w:eastAsia="Calibri" w:cs="Arial"/>
          <w:sz w:val="22"/>
          <w:szCs w:val="22"/>
        </w:rPr>
        <w:t>harmacist</w:t>
      </w:r>
      <w:r w:rsidR="00AD5B38" w:rsidRPr="0028248B">
        <w:rPr>
          <w:rFonts w:eastAsia="Calibri" w:cs="Arial"/>
          <w:sz w:val="22"/>
          <w:szCs w:val="22"/>
        </w:rPr>
        <w:t>.</w:t>
      </w:r>
    </w:p>
    <w:p w14:paraId="001D5822" w14:textId="77777777" w:rsidR="00173E5F" w:rsidRPr="0028248B" w:rsidRDefault="00173E5F" w:rsidP="00CA5F2C">
      <w:pPr>
        <w:spacing w:after="0" w:line="240" w:lineRule="auto"/>
        <w:ind w:left="720" w:hanging="720"/>
        <w:jc w:val="both"/>
        <w:rPr>
          <w:rFonts w:eastAsia="Calibri" w:cs="Arial"/>
          <w:sz w:val="22"/>
          <w:szCs w:val="22"/>
        </w:rPr>
      </w:pPr>
      <w:r w:rsidRPr="0028248B">
        <w:rPr>
          <w:rFonts w:eastAsia="Calibri" w:cs="Arial"/>
          <w:sz w:val="22"/>
          <w:szCs w:val="22"/>
        </w:rPr>
        <w:t xml:space="preserve">8.3.2 </w:t>
      </w:r>
      <w:r w:rsidRPr="0028248B">
        <w:rPr>
          <w:rFonts w:eastAsia="Calibri" w:cs="Arial"/>
          <w:sz w:val="22"/>
          <w:szCs w:val="22"/>
        </w:rPr>
        <w:tab/>
        <w:t xml:space="preserve">A register entry shall be made within </w:t>
      </w:r>
      <w:r w:rsidRPr="0028248B">
        <w:rPr>
          <w:rFonts w:eastAsia="Calibri" w:cs="Arial"/>
          <w:b/>
          <w:bCs/>
          <w:sz w:val="22"/>
          <w:szCs w:val="22"/>
        </w:rPr>
        <w:t>twenty-four (24) hours</w:t>
      </w:r>
      <w:r w:rsidRPr="0028248B">
        <w:rPr>
          <w:rFonts w:eastAsia="Calibri" w:cs="Arial"/>
          <w:sz w:val="22"/>
          <w:szCs w:val="22"/>
        </w:rPr>
        <w:t xml:space="preserve"> of any importation, exportation, distribution, sale, storage, or supply of a controlled substance. Register balances shall be reconciled within </w:t>
      </w:r>
      <w:r w:rsidRPr="0028248B">
        <w:rPr>
          <w:rFonts w:eastAsia="Calibri" w:cs="Arial"/>
          <w:b/>
          <w:bCs/>
          <w:sz w:val="22"/>
          <w:szCs w:val="22"/>
        </w:rPr>
        <w:t>seven (7) days</w:t>
      </w:r>
      <w:r w:rsidRPr="0028248B">
        <w:rPr>
          <w:rFonts w:eastAsia="Calibri" w:cs="Arial"/>
          <w:sz w:val="22"/>
          <w:szCs w:val="22"/>
        </w:rPr>
        <w:t xml:space="preserve"> of each transaction.</w:t>
      </w:r>
    </w:p>
    <w:p w14:paraId="0C0DCE09" w14:textId="00CAB0E0" w:rsidR="00173E5F" w:rsidRPr="0028248B" w:rsidRDefault="00173E5F" w:rsidP="00D30BAF">
      <w:pPr>
        <w:spacing w:after="120" w:line="240" w:lineRule="auto"/>
        <w:ind w:left="720" w:hanging="720"/>
        <w:jc w:val="both"/>
        <w:rPr>
          <w:rFonts w:eastAsia="Calibri" w:cs="Arial"/>
          <w:sz w:val="22"/>
          <w:szCs w:val="22"/>
        </w:rPr>
      </w:pPr>
      <w:r w:rsidRPr="0028248B">
        <w:rPr>
          <w:rFonts w:eastAsia="Calibri" w:cs="Arial"/>
          <w:sz w:val="22"/>
          <w:szCs w:val="22"/>
        </w:rPr>
        <w:t>8.3.3</w:t>
      </w:r>
      <w:r w:rsidRPr="0028248B">
        <w:rPr>
          <w:rFonts w:eastAsia="Calibri" w:cs="Arial"/>
          <w:sz w:val="22"/>
          <w:szCs w:val="22"/>
        </w:rPr>
        <w:tab/>
        <w:t xml:space="preserve">All controlled substance records and registers shall be retained for a minimum period of </w:t>
      </w:r>
      <w:r w:rsidRPr="0028248B">
        <w:rPr>
          <w:rFonts w:eastAsia="Calibri" w:cs="Arial"/>
          <w:b/>
          <w:bCs/>
          <w:sz w:val="22"/>
          <w:szCs w:val="22"/>
        </w:rPr>
        <w:t xml:space="preserve">five (5) years </w:t>
      </w:r>
      <w:r w:rsidRPr="0028248B">
        <w:rPr>
          <w:rFonts w:eastAsia="Calibri" w:cs="Arial"/>
          <w:sz w:val="22"/>
          <w:szCs w:val="22"/>
        </w:rPr>
        <w:t>and made available to the Authority upon request.</w:t>
      </w:r>
      <w:bookmarkEnd w:id="40"/>
    </w:p>
    <w:p w14:paraId="2312EE99" w14:textId="02D8FA06" w:rsidR="003B40D8" w:rsidRPr="005B6405" w:rsidRDefault="003B40D8" w:rsidP="00D30BAF">
      <w:pPr>
        <w:spacing w:after="120" w:line="240" w:lineRule="auto"/>
        <w:ind w:left="720" w:hanging="720"/>
        <w:jc w:val="both"/>
      </w:pPr>
      <w:r w:rsidRPr="0028248B">
        <w:rPr>
          <w:rFonts w:eastAsia="Calibri" w:cs="Arial"/>
          <w:sz w:val="22"/>
          <w:szCs w:val="22"/>
        </w:rPr>
        <w:t>8.3.4</w:t>
      </w:r>
      <w:r w:rsidRPr="0028248B">
        <w:rPr>
          <w:rFonts w:eastAsia="Calibri" w:cs="Arial"/>
          <w:sz w:val="22"/>
          <w:szCs w:val="22"/>
        </w:rPr>
        <w:tab/>
        <w:t>The pharmacy shall maintain a register</w:t>
      </w:r>
      <w:r w:rsidR="0010489D" w:rsidRPr="0028248B">
        <w:rPr>
          <w:rFonts w:eastAsia="Calibri" w:cs="Arial"/>
          <w:sz w:val="22"/>
          <w:szCs w:val="22"/>
        </w:rPr>
        <w:t xml:space="preserve"> (ele</w:t>
      </w:r>
      <w:r w:rsidR="0075327E" w:rsidRPr="0028248B">
        <w:rPr>
          <w:rFonts w:eastAsia="Calibri" w:cs="Arial"/>
          <w:sz w:val="22"/>
          <w:szCs w:val="22"/>
        </w:rPr>
        <w:t>ctronic or physical records)</w:t>
      </w:r>
      <w:r w:rsidRPr="0028248B">
        <w:rPr>
          <w:rFonts w:eastAsia="Calibri" w:cs="Arial"/>
          <w:sz w:val="22"/>
          <w:szCs w:val="22"/>
        </w:rPr>
        <w:t xml:space="preserve"> of all codeine-containing products and routinely review the records to identify and monitor for potential misuse or abuse.</w:t>
      </w:r>
    </w:p>
    <w:p w14:paraId="2E050A28" w14:textId="0B150923" w:rsidR="00796EB8" w:rsidRPr="005B6405" w:rsidRDefault="00BB4967" w:rsidP="00D30BAF">
      <w:pPr>
        <w:pStyle w:val="Heading2"/>
        <w:spacing w:before="0" w:after="120" w:line="240" w:lineRule="auto"/>
        <w:jc w:val="both"/>
        <w:rPr>
          <w:rFonts w:ascii="Gill Sans MT" w:hAnsi="Gill Sans MT"/>
          <w:b/>
          <w:bCs/>
          <w:color w:val="auto"/>
          <w:sz w:val="24"/>
          <w:szCs w:val="24"/>
        </w:rPr>
      </w:pPr>
      <w:bookmarkStart w:id="43" w:name="_Toc41489326"/>
      <w:bookmarkStart w:id="44" w:name="_Toc227072336"/>
      <w:r w:rsidRPr="005B6405">
        <w:rPr>
          <w:rFonts w:ascii="Gill Sans MT" w:hAnsi="Gill Sans MT"/>
          <w:b/>
          <w:bCs/>
          <w:color w:val="auto"/>
          <w:sz w:val="24"/>
          <w:szCs w:val="24"/>
        </w:rPr>
        <w:t>9</w:t>
      </w:r>
      <w:r w:rsidR="004C3468" w:rsidRPr="005B6405">
        <w:rPr>
          <w:rFonts w:ascii="Gill Sans MT" w:hAnsi="Gill Sans MT"/>
          <w:b/>
          <w:bCs/>
          <w:color w:val="auto"/>
          <w:sz w:val="24"/>
          <w:szCs w:val="24"/>
        </w:rPr>
        <w:t xml:space="preserve">. </w:t>
      </w:r>
      <w:r w:rsidR="004D5F95" w:rsidRPr="005B6405">
        <w:rPr>
          <w:rFonts w:ascii="Gill Sans MT" w:hAnsi="Gill Sans MT"/>
          <w:b/>
          <w:bCs/>
          <w:color w:val="auto"/>
          <w:sz w:val="24"/>
          <w:szCs w:val="24"/>
        </w:rPr>
        <w:t xml:space="preserve"> </w:t>
      </w:r>
      <w:r w:rsidR="00F74B3E" w:rsidRPr="005B6405">
        <w:rPr>
          <w:rFonts w:ascii="Gill Sans MT" w:hAnsi="Gill Sans MT"/>
          <w:b/>
          <w:bCs/>
          <w:color w:val="auto"/>
          <w:sz w:val="24"/>
          <w:szCs w:val="24"/>
        </w:rPr>
        <w:tab/>
      </w:r>
      <w:r w:rsidR="000C741C" w:rsidRPr="005B6405">
        <w:rPr>
          <w:rFonts w:ascii="Gill Sans MT" w:hAnsi="Gill Sans MT"/>
          <w:b/>
          <w:bCs/>
          <w:color w:val="auto"/>
          <w:sz w:val="24"/>
          <w:szCs w:val="24"/>
        </w:rPr>
        <w:t xml:space="preserve">Documentation </w:t>
      </w:r>
      <w:r w:rsidR="00AA384D" w:rsidRPr="005B6405">
        <w:rPr>
          <w:rFonts w:ascii="Gill Sans MT" w:hAnsi="Gill Sans MT"/>
          <w:b/>
          <w:bCs/>
          <w:color w:val="auto"/>
          <w:sz w:val="24"/>
          <w:szCs w:val="24"/>
        </w:rPr>
        <w:t>and Procedures</w:t>
      </w:r>
      <w:bookmarkEnd w:id="43"/>
      <w:bookmarkEnd w:id="44"/>
    </w:p>
    <w:p w14:paraId="07CC978B" w14:textId="36D7627D" w:rsidR="00985AF0" w:rsidRPr="005B6405" w:rsidRDefault="00985AF0" w:rsidP="00CA5F2C">
      <w:pPr>
        <w:jc w:val="both"/>
        <w:rPr>
          <w:b/>
          <w:bCs/>
        </w:rPr>
      </w:pPr>
      <w:r w:rsidRPr="005B6405">
        <w:rPr>
          <w:b/>
          <w:bCs/>
        </w:rPr>
        <w:t>9.1</w:t>
      </w:r>
      <w:r w:rsidRPr="005B6405">
        <w:rPr>
          <w:b/>
          <w:bCs/>
        </w:rPr>
        <w:tab/>
        <w:t>General</w:t>
      </w:r>
    </w:p>
    <w:p w14:paraId="336ED6D6" w14:textId="64A8D7C6" w:rsidR="004D0603" w:rsidRPr="0028248B" w:rsidRDefault="004D0603"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9.1.1 </w:t>
      </w:r>
      <w:r w:rsidRPr="0028248B">
        <w:rPr>
          <w:rFonts w:eastAsiaTheme="majorEastAsia" w:cstheme="majorBidi"/>
          <w:sz w:val="22"/>
          <w:szCs w:val="22"/>
        </w:rPr>
        <w:tab/>
        <w:t xml:space="preserve">Written instructions and records documenting </w:t>
      </w:r>
      <w:r w:rsidR="00600A68" w:rsidRPr="0028248B">
        <w:rPr>
          <w:rFonts w:eastAsiaTheme="majorEastAsia" w:cstheme="majorBidi"/>
          <w:sz w:val="22"/>
          <w:szCs w:val="22"/>
        </w:rPr>
        <w:t>all regulated</w:t>
      </w:r>
      <w:r w:rsidR="00492FE2" w:rsidRPr="0028248B">
        <w:rPr>
          <w:rFonts w:eastAsiaTheme="majorEastAsia" w:cstheme="majorBidi"/>
          <w:sz w:val="22"/>
          <w:szCs w:val="22"/>
        </w:rPr>
        <w:t xml:space="preserve"> product</w:t>
      </w:r>
      <w:r w:rsidRPr="0028248B">
        <w:rPr>
          <w:rFonts w:eastAsiaTheme="majorEastAsia" w:cstheme="majorBidi"/>
          <w:sz w:val="22"/>
          <w:szCs w:val="22"/>
        </w:rPr>
        <w:t xml:space="preserve"> activities</w:t>
      </w:r>
      <w:r w:rsidR="00492FE2" w:rsidRPr="0028248B">
        <w:rPr>
          <w:rFonts w:eastAsiaTheme="majorEastAsia" w:cstheme="majorBidi"/>
          <w:sz w:val="22"/>
          <w:szCs w:val="22"/>
        </w:rPr>
        <w:t xml:space="preserve"> and transaction</w:t>
      </w:r>
      <w:r w:rsidRPr="0028248B">
        <w:rPr>
          <w:rFonts w:eastAsiaTheme="majorEastAsia" w:cstheme="majorBidi"/>
          <w:sz w:val="22"/>
          <w:szCs w:val="22"/>
        </w:rPr>
        <w:t>, including receipts and invoices, shall be maintained at the facility for a minimum of three (3) years and made available to the Authority upon request.</w:t>
      </w:r>
    </w:p>
    <w:p w14:paraId="3E348DDC" w14:textId="201D7570" w:rsidR="004D0603" w:rsidRPr="0028248B" w:rsidRDefault="004D0603"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9.1.2</w:t>
      </w:r>
      <w:r w:rsidRPr="0028248B">
        <w:rPr>
          <w:rFonts w:eastAsiaTheme="majorEastAsia" w:cstheme="majorBidi"/>
          <w:sz w:val="22"/>
          <w:szCs w:val="22"/>
        </w:rPr>
        <w:tab/>
        <w:t>All records, whether paper or electronic, shall be secure, attributable, legible, traceable, permanent, and accurate. Paper records shall be completed in indelible, non-erasable ink on non-temperature-sensitive, non-photosensitive paper. Electronic records shall have backups to prevent accidental data loss.</w:t>
      </w:r>
    </w:p>
    <w:p w14:paraId="0132FAA8" w14:textId="394785ED" w:rsidR="004D0603" w:rsidRPr="0028248B" w:rsidRDefault="004D0603"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9.1.3 </w:t>
      </w:r>
      <w:r w:rsidRPr="0028248B">
        <w:rPr>
          <w:rFonts w:eastAsiaTheme="majorEastAsia" w:cstheme="majorBidi"/>
          <w:sz w:val="22"/>
          <w:szCs w:val="22"/>
        </w:rPr>
        <w:tab/>
        <w:t xml:space="preserve">Permanent records shall be maintained for each stored product, indicating recommended storage conditions and any applicable precautions. </w:t>
      </w:r>
    </w:p>
    <w:p w14:paraId="1BC6A852" w14:textId="4B75FBAD" w:rsidR="004D0603" w:rsidRPr="0028248B" w:rsidRDefault="004D0603"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9.1.4 </w:t>
      </w:r>
      <w:r w:rsidRPr="0028248B">
        <w:rPr>
          <w:rFonts w:eastAsiaTheme="majorEastAsia" w:cstheme="majorBidi"/>
          <w:sz w:val="22"/>
          <w:szCs w:val="22"/>
        </w:rPr>
        <w:tab/>
        <w:t xml:space="preserve">A document control system shall be established and maintained governing the preparation, review, approval, amendment, and control of all </w:t>
      </w:r>
      <w:r w:rsidR="00B65C30" w:rsidRPr="0028248B">
        <w:rPr>
          <w:rFonts w:eastAsiaTheme="majorEastAsia" w:cstheme="majorBidi"/>
          <w:sz w:val="22"/>
          <w:szCs w:val="22"/>
        </w:rPr>
        <w:t>pharmacy</w:t>
      </w:r>
      <w:r w:rsidRPr="0028248B">
        <w:rPr>
          <w:rFonts w:eastAsiaTheme="majorEastAsia" w:cstheme="majorBidi"/>
          <w:sz w:val="22"/>
          <w:szCs w:val="22"/>
        </w:rPr>
        <w:t>-related documents, covering both internally generated and externally sourced documents. Documents shall be clear, unambiguous, approved, signed, and dated by an authorised person. A referencing system enabling traceability of dispatched medicines to original suppliers shall be in place.</w:t>
      </w:r>
    </w:p>
    <w:p w14:paraId="2F34087D" w14:textId="77777777" w:rsidR="004D0603" w:rsidRPr="0028248B" w:rsidRDefault="004D0603"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9.1.5 </w:t>
      </w:r>
      <w:r w:rsidRPr="0028248B">
        <w:rPr>
          <w:rFonts w:eastAsiaTheme="majorEastAsia" w:cstheme="majorBidi"/>
          <w:sz w:val="22"/>
          <w:szCs w:val="22"/>
        </w:rPr>
        <w:tab/>
        <w:t>Electronic data systems shall be periodically reviewed for effectiveness and updated as necessary. A system for the identification, collection, retrieval, storage, maintenance, and disposal of all applicable documentation shall be established and maintained.</w:t>
      </w:r>
    </w:p>
    <w:p w14:paraId="16D8E8B7" w14:textId="3BC5614F" w:rsidR="004D0603" w:rsidRPr="0028248B" w:rsidRDefault="004D0603"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 xml:space="preserve">9.1.6 </w:t>
      </w:r>
      <w:r w:rsidRPr="0028248B">
        <w:rPr>
          <w:rFonts w:eastAsiaTheme="majorEastAsia" w:cstheme="majorBidi"/>
          <w:sz w:val="22"/>
          <w:szCs w:val="22"/>
        </w:rPr>
        <w:tab/>
        <w:t>Purchase and sales records shall be maintained in the form of invoices capturing: transaction date; product name; batch number; supplier or purchaser name and address; quantities bought or sold; name of receiver or dispatcher; and signature of the authorised person.</w:t>
      </w:r>
    </w:p>
    <w:p w14:paraId="5C3A4FB0" w14:textId="1CCBAA7B" w:rsidR="00AB172D" w:rsidRPr="0028248B" w:rsidRDefault="0073725E"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9.1.7</w:t>
      </w:r>
      <w:r w:rsidRPr="0028248B">
        <w:rPr>
          <w:rFonts w:eastAsiaTheme="majorEastAsia" w:cstheme="majorBidi"/>
          <w:sz w:val="22"/>
          <w:szCs w:val="22"/>
        </w:rPr>
        <w:tab/>
        <w:t>All documented procedures and plans shall be reviewed at least once every 2 years.</w:t>
      </w:r>
    </w:p>
    <w:p w14:paraId="3126A989" w14:textId="4C57F59E" w:rsidR="00AB172D" w:rsidRPr="0028248B" w:rsidRDefault="001A061D" w:rsidP="00CA5F2C">
      <w:pPr>
        <w:spacing w:after="0" w:line="240" w:lineRule="auto"/>
        <w:jc w:val="both"/>
        <w:rPr>
          <w:rFonts w:eastAsiaTheme="majorEastAsia" w:cstheme="majorBidi"/>
          <w:sz w:val="22"/>
          <w:szCs w:val="22"/>
        </w:rPr>
      </w:pPr>
      <w:r w:rsidRPr="0028248B">
        <w:rPr>
          <w:rFonts w:eastAsiaTheme="majorEastAsia" w:cstheme="majorBidi"/>
          <w:sz w:val="22"/>
          <w:szCs w:val="22"/>
        </w:rPr>
        <w:t>9.1.</w:t>
      </w:r>
      <w:r w:rsidR="004B4DC4" w:rsidRPr="0028248B">
        <w:rPr>
          <w:rFonts w:eastAsiaTheme="majorEastAsia" w:cstheme="majorBidi"/>
          <w:sz w:val="22"/>
          <w:szCs w:val="22"/>
        </w:rPr>
        <w:t>8</w:t>
      </w:r>
      <w:r w:rsidR="00AB172D" w:rsidRPr="0028248B">
        <w:rPr>
          <w:rFonts w:eastAsiaTheme="majorEastAsia" w:cstheme="majorBidi"/>
          <w:sz w:val="22"/>
          <w:szCs w:val="22"/>
        </w:rPr>
        <w:t xml:space="preserve"> </w:t>
      </w:r>
      <w:r w:rsidR="00AB172D" w:rsidRPr="0028248B">
        <w:rPr>
          <w:rFonts w:eastAsiaTheme="majorEastAsia" w:cstheme="majorBidi"/>
          <w:sz w:val="22"/>
          <w:szCs w:val="22"/>
        </w:rPr>
        <w:tab/>
        <w:t>A pharmacy shall be equipped with the following minimum apparatus and equipment:</w:t>
      </w:r>
    </w:p>
    <w:p w14:paraId="3342C436" w14:textId="3ED1AF69"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A suitable number of tablets counters and spatulas</w:t>
      </w:r>
    </w:p>
    <w:p w14:paraId="236E247C" w14:textId="64AD61AF"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 xml:space="preserve">A suitable range of graduated glass measuring cylinders, mixing slab or tile and any suitable glassware necessary for the proper carrying out of the dispensing duties of a </w:t>
      </w:r>
      <w:proofErr w:type="gramStart"/>
      <w:r w:rsidR="005B0F7B" w:rsidRPr="0028248B">
        <w:rPr>
          <w:rFonts w:eastAsiaTheme="majorEastAsia" w:cstheme="majorBidi"/>
          <w:sz w:val="22"/>
          <w:szCs w:val="22"/>
        </w:rPr>
        <w:t>P</w:t>
      </w:r>
      <w:r w:rsidRPr="0028248B">
        <w:rPr>
          <w:rFonts w:eastAsiaTheme="majorEastAsia" w:cstheme="majorBidi"/>
          <w:sz w:val="22"/>
          <w:szCs w:val="22"/>
        </w:rPr>
        <w:t>harmacist</w:t>
      </w:r>
      <w:proofErr w:type="gramEnd"/>
      <w:r w:rsidRPr="0028248B">
        <w:rPr>
          <w:rFonts w:eastAsiaTheme="majorEastAsia" w:cstheme="majorBidi"/>
          <w:sz w:val="22"/>
          <w:szCs w:val="22"/>
        </w:rPr>
        <w:t xml:space="preserve">. </w:t>
      </w:r>
    </w:p>
    <w:p w14:paraId="537A6CDB" w14:textId="77FFC679"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A suitable range of containers for the dispensing of tablets, capsules, creams, ointments, and liquids</w:t>
      </w:r>
    </w:p>
    <w:p w14:paraId="1AAEF629" w14:textId="5959CDF5"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lastRenderedPageBreak/>
        <w:t>A suitable range of labels for the above-mentioned containers (in iv), The labels shall bear the details of the pharmacy, strength, batch number, expiry date, provision for patient name, directions for use and name of the drug. (the details as per the regulation 8)</w:t>
      </w:r>
    </w:p>
    <w:p w14:paraId="45264C40" w14:textId="76B79B00"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A digital scale.</w:t>
      </w:r>
    </w:p>
    <w:p w14:paraId="6948066B" w14:textId="2C636259"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A suitable range of mortars and pestles of glass or earth-ware material</w:t>
      </w:r>
    </w:p>
    <w:p w14:paraId="0B2B288A" w14:textId="3C6ABC31"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A working dispensing programme and printer.</w:t>
      </w:r>
    </w:p>
    <w:p w14:paraId="11BEFEAB" w14:textId="1C872B5C"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 xml:space="preserve">Access to copying facilities </w:t>
      </w:r>
    </w:p>
    <w:p w14:paraId="673C9300" w14:textId="0D4E34BE" w:rsidR="00AB172D" w:rsidRPr="0028248B" w:rsidRDefault="00AB172D" w:rsidP="00CA5F2C">
      <w:pPr>
        <w:pStyle w:val="ListParagraph"/>
        <w:numPr>
          <w:ilvl w:val="0"/>
          <w:numId w:val="32"/>
        </w:numPr>
        <w:spacing w:after="0" w:line="240" w:lineRule="auto"/>
        <w:jc w:val="both"/>
        <w:rPr>
          <w:rFonts w:eastAsiaTheme="majorEastAsia" w:cstheme="majorBidi"/>
          <w:sz w:val="22"/>
          <w:szCs w:val="22"/>
        </w:rPr>
      </w:pPr>
      <w:r w:rsidRPr="0028248B">
        <w:rPr>
          <w:rFonts w:eastAsiaTheme="majorEastAsia" w:cstheme="majorBidi"/>
          <w:sz w:val="22"/>
          <w:szCs w:val="22"/>
        </w:rPr>
        <w:t>Telephonic; fax or email contact.</w:t>
      </w:r>
    </w:p>
    <w:p w14:paraId="19E05FA3" w14:textId="65768C6E" w:rsidR="00AB172D" w:rsidRPr="0028248B" w:rsidRDefault="00321094"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w:t>
      </w:r>
      <w:r w:rsidR="004B4DC4" w:rsidRPr="0028248B">
        <w:rPr>
          <w:rFonts w:eastAsiaTheme="majorEastAsia" w:cstheme="majorBidi"/>
          <w:sz w:val="22"/>
          <w:szCs w:val="22"/>
        </w:rPr>
        <w:t>9</w:t>
      </w:r>
      <w:r w:rsidRPr="0028248B">
        <w:rPr>
          <w:rFonts w:eastAsiaTheme="majorEastAsia" w:cstheme="majorBidi"/>
          <w:sz w:val="22"/>
          <w:szCs w:val="22"/>
        </w:rPr>
        <w:tab/>
      </w:r>
      <w:r w:rsidR="00AB172D" w:rsidRPr="0028248B">
        <w:rPr>
          <w:rFonts w:eastAsiaTheme="majorEastAsia" w:cstheme="majorBidi"/>
          <w:sz w:val="22"/>
          <w:szCs w:val="22"/>
        </w:rPr>
        <w:t>Continuous temperature monitoring records of 7 days, prior to pre-licensing inspection shall be made available at inspection time.</w:t>
      </w:r>
    </w:p>
    <w:p w14:paraId="553B31BE" w14:textId="2BE5A8C2" w:rsidR="00AB172D" w:rsidRPr="0028248B" w:rsidRDefault="003B40D8"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0</w:t>
      </w:r>
      <w:r w:rsidRPr="0028248B">
        <w:rPr>
          <w:rFonts w:eastAsiaTheme="majorEastAsia" w:cstheme="majorBidi"/>
          <w:sz w:val="22"/>
          <w:szCs w:val="22"/>
        </w:rPr>
        <w:tab/>
      </w:r>
      <w:r w:rsidR="00AB172D" w:rsidRPr="0028248B">
        <w:rPr>
          <w:rFonts w:eastAsiaTheme="majorEastAsia" w:cstheme="majorBidi"/>
          <w:sz w:val="22"/>
          <w:szCs w:val="22"/>
        </w:rPr>
        <w:t xml:space="preserve">Schedule 1A 1B and 1C, medicines shall be dispensed only on written prescription, record of the transaction </w:t>
      </w:r>
      <w:proofErr w:type="gramStart"/>
      <w:r w:rsidR="00AB172D" w:rsidRPr="0028248B">
        <w:rPr>
          <w:rFonts w:eastAsiaTheme="majorEastAsia" w:cstheme="majorBidi"/>
          <w:sz w:val="22"/>
          <w:szCs w:val="22"/>
        </w:rPr>
        <w:t>entered into</w:t>
      </w:r>
      <w:proofErr w:type="gramEnd"/>
      <w:r w:rsidR="00AB172D" w:rsidRPr="0028248B">
        <w:rPr>
          <w:rFonts w:eastAsiaTheme="majorEastAsia" w:cstheme="majorBidi"/>
          <w:sz w:val="22"/>
          <w:szCs w:val="22"/>
        </w:rPr>
        <w:t xml:space="preserve"> a Controlled Medicines register and a prescription record book.</w:t>
      </w:r>
    </w:p>
    <w:p w14:paraId="5AF03B23" w14:textId="2487DB11" w:rsidR="00AB172D" w:rsidRPr="0028248B" w:rsidRDefault="003B40D8"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1</w:t>
      </w:r>
      <w:r w:rsidRPr="0028248B">
        <w:rPr>
          <w:rFonts w:eastAsiaTheme="majorEastAsia" w:cstheme="majorBidi"/>
          <w:sz w:val="22"/>
          <w:szCs w:val="22"/>
        </w:rPr>
        <w:tab/>
      </w:r>
      <w:r w:rsidR="00AB172D" w:rsidRPr="0028248B">
        <w:rPr>
          <w:rFonts w:eastAsiaTheme="majorEastAsia" w:cstheme="majorBidi"/>
          <w:sz w:val="22"/>
          <w:szCs w:val="22"/>
        </w:rPr>
        <w:t xml:space="preserve">All records and transactions and all registers shall be maintained and be made available for inspection. Schedule 2, medicines shall be dispensed only on written prescription. </w:t>
      </w:r>
    </w:p>
    <w:p w14:paraId="527BED0D" w14:textId="0AEBE4AF" w:rsidR="00AB172D" w:rsidRPr="0028248B" w:rsidRDefault="003B40D8"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2</w:t>
      </w:r>
      <w:r w:rsidRPr="0028248B">
        <w:rPr>
          <w:rFonts w:eastAsiaTheme="majorEastAsia" w:cstheme="majorBidi"/>
          <w:sz w:val="22"/>
          <w:szCs w:val="22"/>
        </w:rPr>
        <w:tab/>
      </w:r>
      <w:r w:rsidR="00AB172D" w:rsidRPr="0028248B">
        <w:rPr>
          <w:rFonts w:eastAsiaTheme="majorEastAsia" w:cstheme="majorBidi"/>
          <w:sz w:val="22"/>
          <w:szCs w:val="22"/>
        </w:rPr>
        <w:t>Containers of every medicine dispensed to a patient shall have a label with information listed below where applicable:</w:t>
      </w:r>
    </w:p>
    <w:p w14:paraId="7741DD8B" w14:textId="7CD3B2F7" w:rsidR="00AB172D" w:rsidRPr="0028248B" w:rsidRDefault="00AB172D" w:rsidP="00CA5F2C">
      <w:pPr>
        <w:pStyle w:val="ListParagraph"/>
        <w:numPr>
          <w:ilvl w:val="0"/>
          <w:numId w:val="33"/>
        </w:numPr>
        <w:spacing w:after="0" w:line="240" w:lineRule="auto"/>
        <w:jc w:val="both"/>
        <w:rPr>
          <w:rFonts w:eastAsiaTheme="majorEastAsia" w:cstheme="majorBidi"/>
          <w:sz w:val="22"/>
          <w:szCs w:val="22"/>
        </w:rPr>
      </w:pPr>
      <w:r w:rsidRPr="0028248B">
        <w:rPr>
          <w:rFonts w:eastAsiaTheme="majorEastAsia" w:cstheme="majorBidi"/>
          <w:sz w:val="22"/>
          <w:szCs w:val="22"/>
        </w:rPr>
        <w:t>Name of the Patient.</w:t>
      </w:r>
    </w:p>
    <w:p w14:paraId="34DD04D3" w14:textId="5E26D1A2" w:rsidR="00AB172D" w:rsidRPr="0028248B" w:rsidRDefault="00AB172D" w:rsidP="00CA5F2C">
      <w:pPr>
        <w:pStyle w:val="ListParagraph"/>
        <w:numPr>
          <w:ilvl w:val="0"/>
          <w:numId w:val="33"/>
        </w:numPr>
        <w:spacing w:after="0" w:line="240" w:lineRule="auto"/>
        <w:jc w:val="both"/>
        <w:rPr>
          <w:rFonts w:eastAsiaTheme="majorEastAsia" w:cstheme="majorBidi"/>
          <w:sz w:val="22"/>
          <w:szCs w:val="22"/>
        </w:rPr>
      </w:pPr>
      <w:r w:rsidRPr="0028248B">
        <w:rPr>
          <w:rFonts w:eastAsiaTheme="majorEastAsia" w:cstheme="majorBidi"/>
          <w:sz w:val="22"/>
          <w:szCs w:val="22"/>
        </w:rPr>
        <w:t>Name of the medicine and strength</w:t>
      </w:r>
    </w:p>
    <w:p w14:paraId="1E0ED8B6" w14:textId="52C51122" w:rsidR="00AB172D" w:rsidRPr="0028248B" w:rsidRDefault="00AB172D" w:rsidP="00CA5F2C">
      <w:pPr>
        <w:pStyle w:val="ListParagraph"/>
        <w:numPr>
          <w:ilvl w:val="0"/>
          <w:numId w:val="33"/>
        </w:numPr>
        <w:spacing w:after="0" w:line="240" w:lineRule="auto"/>
        <w:jc w:val="both"/>
        <w:rPr>
          <w:rFonts w:eastAsiaTheme="majorEastAsia" w:cstheme="majorBidi"/>
          <w:sz w:val="22"/>
          <w:szCs w:val="22"/>
        </w:rPr>
      </w:pPr>
      <w:r w:rsidRPr="0028248B">
        <w:rPr>
          <w:rFonts w:eastAsiaTheme="majorEastAsia" w:cstheme="majorBidi"/>
          <w:sz w:val="22"/>
          <w:szCs w:val="22"/>
        </w:rPr>
        <w:t>Dosage instructions</w:t>
      </w:r>
    </w:p>
    <w:p w14:paraId="3A9C9197" w14:textId="616F0B85" w:rsidR="00AB172D" w:rsidRPr="0028248B" w:rsidRDefault="00AB172D" w:rsidP="00CA5F2C">
      <w:pPr>
        <w:pStyle w:val="ListParagraph"/>
        <w:numPr>
          <w:ilvl w:val="0"/>
          <w:numId w:val="33"/>
        </w:numPr>
        <w:spacing w:after="0" w:line="240" w:lineRule="auto"/>
        <w:jc w:val="both"/>
        <w:rPr>
          <w:rFonts w:eastAsiaTheme="majorEastAsia" w:cstheme="majorBidi"/>
          <w:sz w:val="22"/>
          <w:szCs w:val="22"/>
        </w:rPr>
      </w:pPr>
      <w:r w:rsidRPr="0028248B">
        <w:rPr>
          <w:rFonts w:eastAsiaTheme="majorEastAsia" w:cstheme="majorBidi"/>
          <w:sz w:val="22"/>
          <w:szCs w:val="22"/>
        </w:rPr>
        <w:t>Date of dispensing</w:t>
      </w:r>
    </w:p>
    <w:p w14:paraId="238A0EAC" w14:textId="532B5D56" w:rsidR="00AB172D" w:rsidRPr="0028248B" w:rsidRDefault="00AB172D" w:rsidP="00CA5F2C">
      <w:pPr>
        <w:pStyle w:val="ListParagraph"/>
        <w:numPr>
          <w:ilvl w:val="0"/>
          <w:numId w:val="33"/>
        </w:numPr>
        <w:spacing w:after="0" w:line="240" w:lineRule="auto"/>
        <w:jc w:val="both"/>
        <w:rPr>
          <w:rFonts w:eastAsiaTheme="majorEastAsia" w:cstheme="majorBidi"/>
          <w:sz w:val="22"/>
          <w:szCs w:val="22"/>
        </w:rPr>
      </w:pPr>
      <w:r w:rsidRPr="0028248B">
        <w:rPr>
          <w:rFonts w:eastAsiaTheme="majorEastAsia" w:cstheme="majorBidi"/>
          <w:sz w:val="22"/>
          <w:szCs w:val="22"/>
        </w:rPr>
        <w:t>Name or signature of dispenser</w:t>
      </w:r>
    </w:p>
    <w:p w14:paraId="02619489" w14:textId="48CD32EC" w:rsidR="00AB172D" w:rsidRPr="0028248B" w:rsidRDefault="00AB172D" w:rsidP="00CA5F2C">
      <w:pPr>
        <w:pStyle w:val="ListParagraph"/>
        <w:numPr>
          <w:ilvl w:val="0"/>
          <w:numId w:val="33"/>
        </w:numPr>
        <w:spacing w:after="0" w:line="240" w:lineRule="auto"/>
        <w:jc w:val="both"/>
        <w:rPr>
          <w:rFonts w:eastAsiaTheme="majorEastAsia" w:cstheme="majorBidi"/>
          <w:sz w:val="22"/>
          <w:szCs w:val="22"/>
        </w:rPr>
      </w:pPr>
      <w:r w:rsidRPr="0028248B">
        <w:rPr>
          <w:rFonts w:eastAsiaTheme="majorEastAsia" w:cstheme="majorBidi"/>
          <w:sz w:val="22"/>
          <w:szCs w:val="22"/>
        </w:rPr>
        <w:t>Name of pharmacy</w:t>
      </w:r>
    </w:p>
    <w:p w14:paraId="748BFA26" w14:textId="16B0C852" w:rsidR="00AB172D" w:rsidRPr="0028248B" w:rsidRDefault="00295D86"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3</w:t>
      </w:r>
      <w:r w:rsidRPr="0028248B">
        <w:rPr>
          <w:rFonts w:eastAsiaTheme="majorEastAsia" w:cstheme="majorBidi"/>
          <w:sz w:val="22"/>
          <w:szCs w:val="22"/>
        </w:rPr>
        <w:tab/>
      </w:r>
      <w:r w:rsidR="00AB172D" w:rsidRPr="0028248B">
        <w:rPr>
          <w:rFonts w:eastAsiaTheme="majorEastAsia" w:cstheme="majorBidi"/>
          <w:sz w:val="22"/>
          <w:szCs w:val="22"/>
        </w:rPr>
        <w:t>Containers of pre-packed medicines shall have a label bearing the following information:</w:t>
      </w:r>
    </w:p>
    <w:p w14:paraId="39086E5B" w14:textId="020599C4" w:rsidR="00AB172D" w:rsidRPr="0028248B" w:rsidRDefault="00AB172D" w:rsidP="00CA5F2C">
      <w:pPr>
        <w:pStyle w:val="ListParagraph"/>
        <w:numPr>
          <w:ilvl w:val="0"/>
          <w:numId w:val="34"/>
        </w:numPr>
        <w:spacing w:after="0" w:line="240" w:lineRule="auto"/>
        <w:jc w:val="both"/>
        <w:rPr>
          <w:rFonts w:eastAsiaTheme="majorEastAsia" w:cstheme="majorBidi"/>
          <w:sz w:val="22"/>
          <w:szCs w:val="22"/>
        </w:rPr>
      </w:pPr>
      <w:r w:rsidRPr="0028248B">
        <w:rPr>
          <w:rFonts w:eastAsiaTheme="majorEastAsia" w:cstheme="majorBidi"/>
          <w:sz w:val="22"/>
          <w:szCs w:val="22"/>
        </w:rPr>
        <w:t>Name, strength, and quantity of the medicine</w:t>
      </w:r>
    </w:p>
    <w:p w14:paraId="137E6EDB" w14:textId="473B6649" w:rsidR="00AB172D" w:rsidRPr="0028248B" w:rsidRDefault="00AB172D" w:rsidP="00CA5F2C">
      <w:pPr>
        <w:pStyle w:val="ListParagraph"/>
        <w:numPr>
          <w:ilvl w:val="0"/>
          <w:numId w:val="34"/>
        </w:numPr>
        <w:spacing w:after="0" w:line="240" w:lineRule="auto"/>
        <w:jc w:val="both"/>
        <w:rPr>
          <w:rFonts w:eastAsiaTheme="majorEastAsia" w:cstheme="majorBidi"/>
          <w:sz w:val="22"/>
          <w:szCs w:val="22"/>
        </w:rPr>
      </w:pPr>
      <w:r w:rsidRPr="0028248B">
        <w:rPr>
          <w:rFonts w:eastAsiaTheme="majorEastAsia" w:cstheme="majorBidi"/>
          <w:sz w:val="22"/>
          <w:szCs w:val="22"/>
        </w:rPr>
        <w:t>Batch number</w:t>
      </w:r>
    </w:p>
    <w:p w14:paraId="746F7A35" w14:textId="772EFBC6" w:rsidR="00AB172D" w:rsidRPr="0028248B" w:rsidRDefault="00AB172D" w:rsidP="00CA5F2C">
      <w:pPr>
        <w:pStyle w:val="ListParagraph"/>
        <w:numPr>
          <w:ilvl w:val="0"/>
          <w:numId w:val="34"/>
        </w:numPr>
        <w:spacing w:after="0" w:line="240" w:lineRule="auto"/>
        <w:jc w:val="both"/>
        <w:rPr>
          <w:rFonts w:eastAsiaTheme="majorEastAsia" w:cstheme="majorBidi"/>
          <w:sz w:val="22"/>
          <w:szCs w:val="22"/>
        </w:rPr>
      </w:pPr>
      <w:r w:rsidRPr="0028248B">
        <w:rPr>
          <w:rFonts w:eastAsiaTheme="majorEastAsia" w:cstheme="majorBidi"/>
          <w:sz w:val="22"/>
          <w:szCs w:val="22"/>
        </w:rPr>
        <w:t>Expiry date</w:t>
      </w:r>
    </w:p>
    <w:p w14:paraId="73B03B5C" w14:textId="3F5D1D70" w:rsidR="00AB172D" w:rsidRPr="0028248B" w:rsidRDefault="00AB172D" w:rsidP="00CA5F2C">
      <w:pPr>
        <w:pStyle w:val="ListParagraph"/>
        <w:numPr>
          <w:ilvl w:val="0"/>
          <w:numId w:val="34"/>
        </w:numPr>
        <w:spacing w:after="0" w:line="240" w:lineRule="auto"/>
        <w:jc w:val="both"/>
        <w:rPr>
          <w:rFonts w:eastAsiaTheme="majorEastAsia" w:cstheme="majorBidi"/>
          <w:sz w:val="22"/>
          <w:szCs w:val="22"/>
        </w:rPr>
      </w:pPr>
      <w:r w:rsidRPr="0028248B">
        <w:rPr>
          <w:rFonts w:eastAsiaTheme="majorEastAsia" w:cstheme="majorBidi"/>
          <w:sz w:val="22"/>
          <w:szCs w:val="22"/>
        </w:rPr>
        <w:t xml:space="preserve">Name of manufacturer </w:t>
      </w:r>
    </w:p>
    <w:p w14:paraId="4AE23F38" w14:textId="1701B4DA" w:rsidR="00AB172D" w:rsidRPr="0028248B" w:rsidRDefault="00295D86"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4</w:t>
      </w:r>
      <w:r w:rsidRPr="0028248B">
        <w:rPr>
          <w:rFonts w:eastAsiaTheme="majorEastAsia" w:cstheme="majorBidi"/>
          <w:sz w:val="22"/>
          <w:szCs w:val="22"/>
        </w:rPr>
        <w:tab/>
      </w:r>
      <w:r w:rsidR="00AB172D" w:rsidRPr="0028248B">
        <w:rPr>
          <w:rFonts w:eastAsiaTheme="majorEastAsia" w:cstheme="majorBidi"/>
          <w:sz w:val="22"/>
          <w:szCs w:val="22"/>
        </w:rPr>
        <w:t>No medicines should be sold to any person below the age of sixteen (16) without a legal guardian present.</w:t>
      </w:r>
    </w:p>
    <w:p w14:paraId="64A0187D" w14:textId="16248807" w:rsidR="00AB172D" w:rsidRPr="0028248B" w:rsidRDefault="006449E2"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5</w:t>
      </w:r>
      <w:r w:rsidRPr="0028248B">
        <w:rPr>
          <w:rFonts w:eastAsiaTheme="majorEastAsia" w:cstheme="majorBidi"/>
          <w:sz w:val="22"/>
          <w:szCs w:val="22"/>
        </w:rPr>
        <w:tab/>
      </w:r>
      <w:r w:rsidR="00AB172D" w:rsidRPr="0028248B">
        <w:rPr>
          <w:rFonts w:eastAsiaTheme="majorEastAsia" w:cstheme="majorBidi"/>
          <w:sz w:val="22"/>
          <w:szCs w:val="22"/>
        </w:rPr>
        <w:t xml:space="preserve">Adequate compounding equipment should be purchased when in-house compounding is to be carried out, and substances prepared in-house shall be kept for a period not exceeding </w:t>
      </w:r>
      <w:r w:rsidR="0093547F">
        <w:rPr>
          <w:rFonts w:eastAsiaTheme="majorEastAsia" w:cstheme="majorBidi"/>
          <w:sz w:val="22"/>
          <w:szCs w:val="22"/>
        </w:rPr>
        <w:t>seven (7)</w:t>
      </w:r>
      <w:r w:rsidR="00AB172D" w:rsidRPr="0028248B">
        <w:rPr>
          <w:rFonts w:eastAsiaTheme="majorEastAsia" w:cstheme="majorBidi"/>
          <w:sz w:val="22"/>
          <w:szCs w:val="22"/>
        </w:rPr>
        <w:t xml:space="preserve"> days unless stability for that period can be substantiated.</w:t>
      </w:r>
    </w:p>
    <w:p w14:paraId="6CD868BF" w14:textId="58148C85" w:rsidR="00AB172D" w:rsidRPr="0028248B" w:rsidRDefault="006449E2"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6</w:t>
      </w:r>
      <w:r w:rsidRPr="0028248B">
        <w:rPr>
          <w:rFonts w:eastAsiaTheme="majorEastAsia" w:cstheme="majorBidi"/>
          <w:sz w:val="22"/>
          <w:szCs w:val="22"/>
        </w:rPr>
        <w:tab/>
      </w:r>
      <w:r w:rsidR="00AB172D" w:rsidRPr="0028248B">
        <w:rPr>
          <w:rFonts w:eastAsiaTheme="majorEastAsia" w:cstheme="majorBidi"/>
          <w:sz w:val="22"/>
          <w:szCs w:val="22"/>
        </w:rPr>
        <w:t xml:space="preserve">A prescription record book or electronic records shall be kept for all prescription drugs. Copies of prescriptions and invoices whether partially or wholly dispensed shall be kept in the pharmacy for at least 3 years. </w:t>
      </w:r>
    </w:p>
    <w:p w14:paraId="45375276" w14:textId="275FC01B" w:rsidR="00AB172D" w:rsidRPr="0028248B" w:rsidRDefault="006449E2"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9.1.1</w:t>
      </w:r>
      <w:r w:rsidR="00454BA1" w:rsidRPr="0028248B">
        <w:rPr>
          <w:rFonts w:eastAsiaTheme="majorEastAsia" w:cstheme="majorBidi"/>
          <w:sz w:val="22"/>
          <w:szCs w:val="22"/>
        </w:rPr>
        <w:t>7</w:t>
      </w:r>
      <w:r w:rsidRPr="0028248B">
        <w:rPr>
          <w:rFonts w:eastAsiaTheme="majorEastAsia" w:cstheme="majorBidi"/>
          <w:sz w:val="22"/>
          <w:szCs w:val="22"/>
        </w:rPr>
        <w:tab/>
      </w:r>
      <w:r w:rsidR="00AB172D" w:rsidRPr="0028248B">
        <w:rPr>
          <w:rFonts w:eastAsiaTheme="majorEastAsia" w:cstheme="majorBidi"/>
          <w:sz w:val="22"/>
          <w:szCs w:val="22"/>
        </w:rPr>
        <w:t>A detailed record of compounding including date of preparation, batch number(s) of ingredients, quantities, calculations, expiration date of the ingredients and product, signature of the pharmacist shall be kept in the pharmacy.</w:t>
      </w:r>
    </w:p>
    <w:p w14:paraId="3ADB4A43" w14:textId="1F5993F8" w:rsidR="00AB172D" w:rsidRPr="0028248B" w:rsidRDefault="006449E2"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w:t>
      </w:r>
      <w:r w:rsidR="004B4DC4" w:rsidRPr="0028248B">
        <w:rPr>
          <w:rFonts w:eastAsiaTheme="majorEastAsia" w:cstheme="majorBidi"/>
          <w:sz w:val="22"/>
          <w:szCs w:val="22"/>
        </w:rPr>
        <w:t>1</w:t>
      </w:r>
      <w:r w:rsidR="00454BA1" w:rsidRPr="0028248B">
        <w:rPr>
          <w:rFonts w:eastAsiaTheme="majorEastAsia" w:cstheme="majorBidi"/>
          <w:sz w:val="22"/>
          <w:szCs w:val="22"/>
        </w:rPr>
        <w:t>8</w:t>
      </w:r>
      <w:r w:rsidRPr="0028248B">
        <w:rPr>
          <w:rFonts w:eastAsiaTheme="majorEastAsia" w:cstheme="majorBidi"/>
          <w:sz w:val="22"/>
          <w:szCs w:val="22"/>
        </w:rPr>
        <w:tab/>
      </w:r>
      <w:r w:rsidR="00AB172D" w:rsidRPr="0028248B">
        <w:rPr>
          <w:rFonts w:eastAsiaTheme="majorEastAsia" w:cstheme="majorBidi"/>
          <w:sz w:val="22"/>
          <w:szCs w:val="22"/>
        </w:rPr>
        <w:t>The bulk breaking records shall be maintained, and they should include all details of the medicines to allow for traceability to the original container.</w:t>
      </w:r>
    </w:p>
    <w:p w14:paraId="09BCB420" w14:textId="0FF5EAF7" w:rsidR="00AB172D" w:rsidRPr="0028248B" w:rsidRDefault="00793AEE"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w:t>
      </w:r>
      <w:r w:rsidR="00454BA1" w:rsidRPr="0028248B">
        <w:rPr>
          <w:rFonts w:eastAsiaTheme="majorEastAsia" w:cstheme="majorBidi"/>
          <w:sz w:val="22"/>
          <w:szCs w:val="22"/>
        </w:rPr>
        <w:t>19</w:t>
      </w:r>
      <w:r w:rsidRPr="0028248B">
        <w:rPr>
          <w:rFonts w:eastAsiaTheme="majorEastAsia" w:cstheme="majorBidi"/>
          <w:sz w:val="22"/>
          <w:szCs w:val="22"/>
        </w:rPr>
        <w:tab/>
      </w:r>
      <w:r w:rsidR="00AB172D" w:rsidRPr="0028248B">
        <w:rPr>
          <w:rFonts w:eastAsiaTheme="majorEastAsia" w:cstheme="majorBidi"/>
          <w:sz w:val="22"/>
          <w:szCs w:val="22"/>
        </w:rPr>
        <w:t xml:space="preserve">Invoices from approved distributors shall be kept for at least </w:t>
      </w:r>
      <w:r w:rsidR="006834A3">
        <w:rPr>
          <w:rFonts w:eastAsiaTheme="majorEastAsia" w:cstheme="majorBidi"/>
          <w:sz w:val="22"/>
          <w:szCs w:val="22"/>
        </w:rPr>
        <w:t xml:space="preserve">three </w:t>
      </w:r>
      <w:r w:rsidR="0093547F">
        <w:rPr>
          <w:rFonts w:eastAsiaTheme="majorEastAsia" w:cstheme="majorBidi"/>
          <w:sz w:val="22"/>
          <w:szCs w:val="22"/>
        </w:rPr>
        <w:t>(</w:t>
      </w:r>
      <w:r w:rsidR="00AB172D" w:rsidRPr="0028248B">
        <w:rPr>
          <w:rFonts w:eastAsiaTheme="majorEastAsia" w:cstheme="majorBidi"/>
          <w:sz w:val="22"/>
          <w:szCs w:val="22"/>
        </w:rPr>
        <w:t>3</w:t>
      </w:r>
      <w:r w:rsidR="0093547F">
        <w:rPr>
          <w:rFonts w:eastAsiaTheme="majorEastAsia" w:cstheme="majorBidi"/>
          <w:sz w:val="22"/>
          <w:szCs w:val="22"/>
        </w:rPr>
        <w:t>)</w:t>
      </w:r>
      <w:r w:rsidR="00AB172D" w:rsidRPr="0028248B">
        <w:rPr>
          <w:rFonts w:eastAsiaTheme="majorEastAsia" w:cstheme="majorBidi"/>
          <w:sz w:val="22"/>
          <w:szCs w:val="22"/>
        </w:rPr>
        <w:t xml:space="preserve"> years.</w:t>
      </w:r>
    </w:p>
    <w:p w14:paraId="2756E38D" w14:textId="41CF37FD" w:rsidR="00AB172D" w:rsidRPr="0028248B" w:rsidRDefault="00793AEE"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9.1.2</w:t>
      </w:r>
      <w:r w:rsidR="008A5FA5" w:rsidRPr="0028248B">
        <w:rPr>
          <w:rFonts w:eastAsiaTheme="majorEastAsia" w:cstheme="majorBidi"/>
          <w:sz w:val="22"/>
          <w:szCs w:val="22"/>
        </w:rPr>
        <w:t>0</w:t>
      </w:r>
      <w:r w:rsidRPr="0028248B">
        <w:rPr>
          <w:rFonts w:eastAsiaTheme="majorEastAsia" w:cstheme="majorBidi"/>
          <w:sz w:val="22"/>
          <w:szCs w:val="22"/>
        </w:rPr>
        <w:tab/>
      </w:r>
      <w:r w:rsidR="00AB172D" w:rsidRPr="0028248B">
        <w:rPr>
          <w:rFonts w:eastAsiaTheme="majorEastAsia" w:cstheme="majorBidi"/>
          <w:sz w:val="22"/>
          <w:szCs w:val="22"/>
        </w:rPr>
        <w:t>Only registered Medicines or B Listed Medicines (as per Human Medicines Register) and approved Complementary Medicines shall be kept in the pharmacy.</w:t>
      </w:r>
    </w:p>
    <w:p w14:paraId="6343B9B9" w14:textId="498ABF8B" w:rsidR="0073725E" w:rsidRPr="0028248B" w:rsidRDefault="00793AEE" w:rsidP="00CA5F2C">
      <w:pPr>
        <w:spacing w:after="0" w:line="240" w:lineRule="auto"/>
        <w:ind w:left="720" w:hanging="720"/>
        <w:jc w:val="both"/>
        <w:rPr>
          <w:rFonts w:eastAsiaTheme="majorEastAsia" w:cstheme="majorBidi"/>
          <w:sz w:val="22"/>
          <w:szCs w:val="22"/>
        </w:rPr>
      </w:pPr>
      <w:r w:rsidRPr="0028248B">
        <w:rPr>
          <w:rFonts w:eastAsiaTheme="majorEastAsia" w:cstheme="majorBidi"/>
          <w:sz w:val="22"/>
          <w:szCs w:val="22"/>
        </w:rPr>
        <w:t>9.1.2</w:t>
      </w:r>
      <w:r w:rsidR="008A5FA5" w:rsidRPr="0028248B">
        <w:rPr>
          <w:rFonts w:eastAsiaTheme="majorEastAsia" w:cstheme="majorBidi"/>
          <w:sz w:val="22"/>
          <w:szCs w:val="22"/>
        </w:rPr>
        <w:t>1</w:t>
      </w:r>
      <w:r w:rsidRPr="0028248B">
        <w:rPr>
          <w:rFonts w:eastAsiaTheme="majorEastAsia" w:cstheme="majorBidi"/>
          <w:sz w:val="22"/>
          <w:szCs w:val="22"/>
        </w:rPr>
        <w:tab/>
      </w:r>
      <w:r w:rsidR="00AB172D" w:rsidRPr="0028248B">
        <w:rPr>
          <w:rFonts w:eastAsiaTheme="majorEastAsia" w:cstheme="majorBidi"/>
          <w:sz w:val="22"/>
          <w:szCs w:val="22"/>
        </w:rPr>
        <w:t>Only registered Medical Devices or Listed Medical Devices (as per Medical Devices Register) shall be kept in the pharmacy.</w:t>
      </w:r>
    </w:p>
    <w:p w14:paraId="186484D6" w14:textId="77777777" w:rsidR="004D0603" w:rsidRPr="0028248B" w:rsidRDefault="004D0603" w:rsidP="00CA5F2C">
      <w:pPr>
        <w:spacing w:after="0" w:line="240" w:lineRule="auto"/>
        <w:jc w:val="both"/>
        <w:rPr>
          <w:rFonts w:ascii="Calibri" w:eastAsia="Calibri" w:hAnsi="Calibri" w:cs="Arial"/>
          <w:sz w:val="20"/>
          <w:szCs w:val="20"/>
        </w:rPr>
      </w:pPr>
    </w:p>
    <w:p w14:paraId="33C371F3" w14:textId="409C8232" w:rsidR="000536CC" w:rsidRPr="0028248B" w:rsidRDefault="004D0603" w:rsidP="00D30BAF">
      <w:pPr>
        <w:keepNext/>
        <w:keepLines/>
        <w:spacing w:after="120"/>
        <w:jc w:val="both"/>
        <w:outlineLvl w:val="1"/>
        <w:rPr>
          <w:rFonts w:eastAsiaTheme="majorEastAsia" w:cstheme="majorBidi"/>
          <w:b/>
        </w:rPr>
      </w:pPr>
      <w:bookmarkStart w:id="45" w:name="_Toc226717488"/>
      <w:bookmarkStart w:id="46" w:name="_Toc227072337"/>
      <w:r w:rsidRPr="0028248B">
        <w:rPr>
          <w:rFonts w:eastAsiaTheme="majorEastAsia" w:cstheme="majorBidi"/>
          <w:b/>
        </w:rPr>
        <w:lastRenderedPageBreak/>
        <w:t>9.</w:t>
      </w:r>
      <w:r w:rsidR="007C77B8" w:rsidRPr="0028248B">
        <w:rPr>
          <w:rFonts w:eastAsiaTheme="majorEastAsia" w:cstheme="majorBidi"/>
          <w:b/>
        </w:rPr>
        <w:t>2</w:t>
      </w:r>
      <w:r w:rsidRPr="0028248B">
        <w:rPr>
          <w:rFonts w:eastAsiaTheme="majorEastAsia" w:cstheme="majorBidi"/>
          <w:b/>
        </w:rPr>
        <w:t xml:space="preserve"> Standard Operating Procedures</w:t>
      </w:r>
      <w:bookmarkEnd w:id="45"/>
      <w:bookmarkEnd w:id="46"/>
    </w:p>
    <w:p w14:paraId="0DB2A5D5" w14:textId="625FC2E9" w:rsidR="00025A04" w:rsidRPr="005B6405" w:rsidRDefault="007C77B8" w:rsidP="00D30BAF">
      <w:pPr>
        <w:spacing w:after="120" w:line="240" w:lineRule="auto"/>
        <w:jc w:val="both"/>
        <w:rPr>
          <w:sz w:val="22"/>
          <w:szCs w:val="22"/>
        </w:rPr>
      </w:pPr>
      <w:r w:rsidRPr="005B6405">
        <w:rPr>
          <w:sz w:val="22"/>
          <w:szCs w:val="22"/>
        </w:rPr>
        <w:t>9.2.1</w:t>
      </w:r>
      <w:r w:rsidR="004D5F95" w:rsidRPr="005B6405">
        <w:rPr>
          <w:sz w:val="22"/>
          <w:szCs w:val="22"/>
        </w:rPr>
        <w:t xml:space="preserve"> </w:t>
      </w:r>
      <w:r w:rsidR="00F74B3E" w:rsidRPr="005B6405">
        <w:rPr>
          <w:sz w:val="22"/>
          <w:szCs w:val="22"/>
        </w:rPr>
        <w:tab/>
      </w:r>
      <w:r w:rsidR="00351886" w:rsidRPr="005B6405">
        <w:rPr>
          <w:sz w:val="22"/>
          <w:szCs w:val="22"/>
        </w:rPr>
        <w:t xml:space="preserve">The following </w:t>
      </w:r>
      <w:r w:rsidR="00025A04" w:rsidRPr="005B6405">
        <w:rPr>
          <w:sz w:val="22"/>
          <w:szCs w:val="22"/>
        </w:rPr>
        <w:t>S</w:t>
      </w:r>
      <w:r w:rsidR="00881A2A" w:rsidRPr="005B6405">
        <w:rPr>
          <w:sz w:val="22"/>
          <w:szCs w:val="22"/>
        </w:rPr>
        <w:t xml:space="preserve">tandard </w:t>
      </w:r>
      <w:r w:rsidR="00025A04" w:rsidRPr="005B6405">
        <w:rPr>
          <w:sz w:val="22"/>
          <w:szCs w:val="22"/>
        </w:rPr>
        <w:t>O</w:t>
      </w:r>
      <w:r w:rsidR="0070592D" w:rsidRPr="005B6405">
        <w:rPr>
          <w:sz w:val="22"/>
          <w:szCs w:val="22"/>
        </w:rPr>
        <w:t xml:space="preserve">perating </w:t>
      </w:r>
      <w:r w:rsidR="00025A04" w:rsidRPr="005B6405">
        <w:rPr>
          <w:sz w:val="22"/>
          <w:szCs w:val="22"/>
        </w:rPr>
        <w:t>P</w:t>
      </w:r>
      <w:r w:rsidR="0070592D" w:rsidRPr="005B6405">
        <w:rPr>
          <w:sz w:val="22"/>
          <w:szCs w:val="22"/>
        </w:rPr>
        <w:t>rocedure</w:t>
      </w:r>
      <w:r w:rsidR="00025A04" w:rsidRPr="005B6405">
        <w:rPr>
          <w:sz w:val="22"/>
          <w:szCs w:val="22"/>
        </w:rPr>
        <w:t>s</w:t>
      </w:r>
      <w:r w:rsidR="00351886" w:rsidRPr="005B6405">
        <w:rPr>
          <w:sz w:val="22"/>
          <w:szCs w:val="22"/>
        </w:rPr>
        <w:t xml:space="preserve"> sh</w:t>
      </w:r>
      <w:r w:rsidR="00E81CED" w:rsidRPr="005B6405">
        <w:rPr>
          <w:sz w:val="22"/>
          <w:szCs w:val="22"/>
        </w:rPr>
        <w:t>all</w:t>
      </w:r>
      <w:r w:rsidR="00351886" w:rsidRPr="005B6405">
        <w:rPr>
          <w:sz w:val="22"/>
          <w:szCs w:val="22"/>
        </w:rPr>
        <w:t xml:space="preserve"> be available</w:t>
      </w:r>
      <w:r w:rsidR="006D4269" w:rsidRPr="005B6405">
        <w:rPr>
          <w:sz w:val="22"/>
          <w:szCs w:val="22"/>
        </w:rPr>
        <w:t xml:space="preserve">: </w:t>
      </w:r>
    </w:p>
    <w:p w14:paraId="1E46464F" w14:textId="6E8B0986"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 xml:space="preserve">Good personal </w:t>
      </w:r>
      <w:r w:rsidR="00652D33" w:rsidRPr="005B6405">
        <w:rPr>
          <w:sz w:val="22"/>
          <w:szCs w:val="22"/>
        </w:rPr>
        <w:t>hygiene</w:t>
      </w:r>
    </w:p>
    <w:p w14:paraId="090401FF" w14:textId="66F94D38"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Cleaning of premises (floors, shelves, etc.</w:t>
      </w:r>
      <w:r w:rsidR="00A478EF" w:rsidRPr="005B6405">
        <w:rPr>
          <w:sz w:val="22"/>
          <w:szCs w:val="22"/>
        </w:rPr>
        <w:t>).</w:t>
      </w:r>
    </w:p>
    <w:p w14:paraId="79CD3713" w14:textId="05143AC9"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Receipt, storage and pre-packaging (bulk breaking)</w:t>
      </w:r>
    </w:p>
    <w:p w14:paraId="50C6D0E2" w14:textId="08A17A7F"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Dispensing</w:t>
      </w:r>
      <w:r w:rsidR="00ED7E9E" w:rsidRPr="005B6405">
        <w:rPr>
          <w:sz w:val="22"/>
          <w:szCs w:val="22"/>
        </w:rPr>
        <w:t xml:space="preserve"> and follow up of patients</w:t>
      </w:r>
    </w:p>
    <w:p w14:paraId="7648470A" w14:textId="17A12B31"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Goods requiring special handling (e.g. thermo-labile; cold chain management)</w:t>
      </w:r>
    </w:p>
    <w:p w14:paraId="4833FF8F" w14:textId="579D1C13"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 xml:space="preserve">Returned, rejected and expired </w:t>
      </w:r>
      <w:r w:rsidR="00652D33" w:rsidRPr="005B6405">
        <w:rPr>
          <w:sz w:val="22"/>
          <w:szCs w:val="22"/>
        </w:rPr>
        <w:t>drugs</w:t>
      </w:r>
    </w:p>
    <w:p w14:paraId="0DDFE89E" w14:textId="4637ADE8"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 xml:space="preserve">Handling customer </w:t>
      </w:r>
      <w:r w:rsidR="0017582E" w:rsidRPr="005B6405">
        <w:rPr>
          <w:sz w:val="22"/>
          <w:szCs w:val="22"/>
        </w:rPr>
        <w:t xml:space="preserve">and Products </w:t>
      </w:r>
      <w:r w:rsidRPr="005B6405">
        <w:rPr>
          <w:sz w:val="22"/>
          <w:szCs w:val="22"/>
        </w:rPr>
        <w:t>complaints</w:t>
      </w:r>
    </w:p>
    <w:p w14:paraId="61EBBCCE" w14:textId="08BB1154"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 xml:space="preserve">Recalled </w:t>
      </w:r>
      <w:r w:rsidR="00652D33" w:rsidRPr="005B6405">
        <w:rPr>
          <w:sz w:val="22"/>
          <w:szCs w:val="22"/>
        </w:rPr>
        <w:t>medicines</w:t>
      </w:r>
    </w:p>
    <w:p w14:paraId="27D38BAB" w14:textId="655B2EEA"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Ensuring supplier’s authenticity</w:t>
      </w:r>
    </w:p>
    <w:p w14:paraId="79A1DDE8" w14:textId="0B9486A8"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Elimination of pest, insects, rodents and others</w:t>
      </w:r>
    </w:p>
    <w:p w14:paraId="51CB15BA" w14:textId="58806952"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Extemporaneous preparations</w:t>
      </w:r>
    </w:p>
    <w:p w14:paraId="770D5191" w14:textId="70FB7936" w:rsidR="00C375EB" w:rsidRPr="005B6405" w:rsidRDefault="00C375EB" w:rsidP="00D30BAF">
      <w:pPr>
        <w:pStyle w:val="ListParagraph"/>
        <w:numPr>
          <w:ilvl w:val="0"/>
          <w:numId w:val="3"/>
        </w:numPr>
        <w:spacing w:after="120" w:line="240" w:lineRule="auto"/>
        <w:jc w:val="both"/>
        <w:rPr>
          <w:sz w:val="22"/>
          <w:szCs w:val="22"/>
        </w:rPr>
      </w:pPr>
      <w:r w:rsidRPr="005B6405">
        <w:rPr>
          <w:sz w:val="22"/>
          <w:szCs w:val="22"/>
        </w:rPr>
        <w:t>Adverse drug reaction reporting</w:t>
      </w:r>
    </w:p>
    <w:p w14:paraId="1A2576D2" w14:textId="4923D75C" w:rsidR="006C7980" w:rsidRPr="005B6405" w:rsidRDefault="00C375EB" w:rsidP="00D30BAF">
      <w:pPr>
        <w:pStyle w:val="ListParagraph"/>
        <w:numPr>
          <w:ilvl w:val="0"/>
          <w:numId w:val="3"/>
        </w:numPr>
        <w:spacing w:after="120" w:line="240" w:lineRule="auto"/>
        <w:jc w:val="both"/>
        <w:rPr>
          <w:sz w:val="22"/>
          <w:szCs w:val="22"/>
        </w:rPr>
      </w:pPr>
      <w:r w:rsidRPr="005B6405">
        <w:rPr>
          <w:sz w:val="22"/>
          <w:szCs w:val="22"/>
        </w:rPr>
        <w:t xml:space="preserve">Handling of </w:t>
      </w:r>
      <w:r w:rsidR="00652D33" w:rsidRPr="005B6405">
        <w:rPr>
          <w:sz w:val="22"/>
          <w:szCs w:val="22"/>
        </w:rPr>
        <w:t xml:space="preserve">Controlled </w:t>
      </w:r>
      <w:r w:rsidR="005A7F9C" w:rsidRPr="005B6405">
        <w:rPr>
          <w:sz w:val="22"/>
          <w:szCs w:val="22"/>
        </w:rPr>
        <w:t>Substances</w:t>
      </w:r>
    </w:p>
    <w:p w14:paraId="565E6E48" w14:textId="7F09C47A" w:rsidR="007E2A77" w:rsidRPr="005B6405" w:rsidRDefault="006C7980" w:rsidP="00D30BAF">
      <w:pPr>
        <w:pStyle w:val="ListParagraph"/>
        <w:numPr>
          <w:ilvl w:val="0"/>
          <w:numId w:val="3"/>
        </w:numPr>
        <w:spacing w:after="120" w:line="240" w:lineRule="auto"/>
        <w:jc w:val="both"/>
        <w:rPr>
          <w:sz w:val="22"/>
          <w:szCs w:val="22"/>
        </w:rPr>
      </w:pPr>
      <w:r w:rsidRPr="005B6405">
        <w:rPr>
          <w:sz w:val="22"/>
          <w:szCs w:val="22"/>
        </w:rPr>
        <w:t xml:space="preserve">Procedure for identifying </w:t>
      </w:r>
      <w:r w:rsidR="0017582E" w:rsidRPr="005B6405">
        <w:rPr>
          <w:sz w:val="22"/>
          <w:szCs w:val="22"/>
        </w:rPr>
        <w:t xml:space="preserve">substandard and falsified </w:t>
      </w:r>
      <w:r w:rsidRPr="005B6405">
        <w:rPr>
          <w:sz w:val="22"/>
          <w:szCs w:val="22"/>
        </w:rPr>
        <w:t>products</w:t>
      </w:r>
      <w:r w:rsidR="00C375EB" w:rsidRPr="005B6405">
        <w:rPr>
          <w:sz w:val="22"/>
          <w:szCs w:val="22"/>
        </w:rPr>
        <w:t xml:space="preserve"> </w:t>
      </w:r>
    </w:p>
    <w:p w14:paraId="5ACDF02F" w14:textId="2881B5AB" w:rsidR="00FA745B" w:rsidRPr="005B6405" w:rsidRDefault="009638C5" w:rsidP="00D30BAF">
      <w:pPr>
        <w:spacing w:after="120" w:line="240" w:lineRule="auto"/>
        <w:ind w:left="720" w:hanging="720"/>
        <w:jc w:val="both"/>
        <w:rPr>
          <w:sz w:val="22"/>
          <w:szCs w:val="22"/>
        </w:rPr>
      </w:pPr>
      <w:r w:rsidRPr="005B6405">
        <w:rPr>
          <w:sz w:val="22"/>
          <w:szCs w:val="22"/>
        </w:rPr>
        <w:t>9.2.2</w:t>
      </w:r>
      <w:r w:rsidR="00965820" w:rsidRPr="005B6405">
        <w:rPr>
          <w:sz w:val="22"/>
          <w:szCs w:val="22"/>
        </w:rPr>
        <w:t xml:space="preserve"> </w:t>
      </w:r>
      <w:r w:rsidR="00F74B3E" w:rsidRPr="005B6405">
        <w:rPr>
          <w:sz w:val="22"/>
          <w:szCs w:val="22"/>
        </w:rPr>
        <w:tab/>
      </w:r>
      <w:r w:rsidR="00965820" w:rsidRPr="005B6405">
        <w:rPr>
          <w:sz w:val="22"/>
          <w:szCs w:val="22"/>
        </w:rPr>
        <w:t xml:space="preserve">A training plan for </w:t>
      </w:r>
      <w:r w:rsidR="00FB523C" w:rsidRPr="005B6405">
        <w:rPr>
          <w:sz w:val="22"/>
          <w:szCs w:val="22"/>
        </w:rPr>
        <w:t>role specific SOPs</w:t>
      </w:r>
      <w:r w:rsidR="00965820" w:rsidRPr="005B6405">
        <w:rPr>
          <w:sz w:val="22"/>
          <w:szCs w:val="22"/>
        </w:rPr>
        <w:t xml:space="preserve"> for personnel</w:t>
      </w:r>
      <w:r w:rsidR="001C6F15" w:rsidRPr="005B6405">
        <w:rPr>
          <w:sz w:val="22"/>
          <w:szCs w:val="22"/>
        </w:rPr>
        <w:t xml:space="preserve"> shall be availed at pre</w:t>
      </w:r>
      <w:r w:rsidR="00F228D1" w:rsidRPr="005B6405">
        <w:rPr>
          <w:sz w:val="22"/>
          <w:szCs w:val="22"/>
        </w:rPr>
        <w:t>-</w:t>
      </w:r>
      <w:r w:rsidR="00855703" w:rsidRPr="005B6405">
        <w:rPr>
          <w:sz w:val="22"/>
          <w:szCs w:val="22"/>
        </w:rPr>
        <w:t xml:space="preserve">licensing, </w:t>
      </w:r>
      <w:r w:rsidR="00FB523C" w:rsidRPr="005B6405">
        <w:rPr>
          <w:sz w:val="22"/>
          <w:szCs w:val="22"/>
        </w:rPr>
        <w:t xml:space="preserve">and </w:t>
      </w:r>
      <w:r w:rsidR="00D12BF6" w:rsidRPr="005B6405">
        <w:rPr>
          <w:sz w:val="22"/>
          <w:szCs w:val="22"/>
        </w:rPr>
        <w:t xml:space="preserve">records </w:t>
      </w:r>
      <w:r w:rsidR="00E41183" w:rsidRPr="005B6405">
        <w:rPr>
          <w:sz w:val="22"/>
          <w:szCs w:val="22"/>
        </w:rPr>
        <w:t>shall be maintained.</w:t>
      </w:r>
    </w:p>
    <w:p w14:paraId="318CDDDA" w14:textId="49B67FBF" w:rsidR="00AA4BE0" w:rsidRPr="005B6405" w:rsidRDefault="009638C5" w:rsidP="00D30BAF">
      <w:pPr>
        <w:pStyle w:val="Heading2"/>
        <w:spacing w:before="0" w:after="120" w:line="240" w:lineRule="auto"/>
        <w:jc w:val="both"/>
        <w:rPr>
          <w:rFonts w:ascii="Gill Sans MT" w:hAnsi="Gill Sans MT"/>
          <w:b/>
          <w:bCs/>
          <w:color w:val="auto"/>
          <w:sz w:val="24"/>
          <w:szCs w:val="24"/>
        </w:rPr>
      </w:pPr>
      <w:bookmarkStart w:id="47" w:name="_Toc41489327"/>
      <w:bookmarkStart w:id="48" w:name="_Toc227072338"/>
      <w:r w:rsidRPr="005B6405">
        <w:rPr>
          <w:rFonts w:ascii="Gill Sans MT" w:hAnsi="Gill Sans MT"/>
          <w:b/>
          <w:bCs/>
          <w:color w:val="auto"/>
          <w:sz w:val="24"/>
          <w:szCs w:val="24"/>
        </w:rPr>
        <w:t>10</w:t>
      </w:r>
      <w:r w:rsidR="00253DE6" w:rsidRPr="005B6405">
        <w:rPr>
          <w:rFonts w:ascii="Gill Sans MT" w:hAnsi="Gill Sans MT"/>
          <w:b/>
          <w:bCs/>
          <w:color w:val="auto"/>
          <w:sz w:val="24"/>
          <w:szCs w:val="24"/>
        </w:rPr>
        <w:t xml:space="preserve"> </w:t>
      </w:r>
      <w:r w:rsidR="000D2445" w:rsidRPr="005B6405">
        <w:rPr>
          <w:rFonts w:ascii="Gill Sans MT" w:hAnsi="Gill Sans MT"/>
          <w:b/>
          <w:bCs/>
          <w:color w:val="auto"/>
          <w:sz w:val="24"/>
          <w:szCs w:val="24"/>
        </w:rPr>
        <w:tab/>
      </w:r>
      <w:r w:rsidR="005651CD" w:rsidRPr="005B6405">
        <w:rPr>
          <w:rFonts w:ascii="Gill Sans MT" w:hAnsi="Gill Sans MT"/>
          <w:b/>
          <w:bCs/>
          <w:color w:val="auto"/>
          <w:sz w:val="24"/>
          <w:szCs w:val="24"/>
        </w:rPr>
        <w:t>Reference Material</w:t>
      </w:r>
      <w:r w:rsidR="00514A64" w:rsidRPr="005B6405">
        <w:rPr>
          <w:rFonts w:ascii="Gill Sans MT" w:hAnsi="Gill Sans MT"/>
          <w:b/>
          <w:bCs/>
          <w:color w:val="auto"/>
          <w:sz w:val="24"/>
          <w:szCs w:val="24"/>
        </w:rPr>
        <w:t>s</w:t>
      </w:r>
      <w:bookmarkEnd w:id="47"/>
      <w:bookmarkEnd w:id="48"/>
    </w:p>
    <w:p w14:paraId="744BAB4A" w14:textId="18D8D560" w:rsidR="00B72FDD" w:rsidRPr="005B6405" w:rsidRDefault="009638C5" w:rsidP="00D30BAF">
      <w:pPr>
        <w:spacing w:after="120" w:line="240" w:lineRule="auto"/>
        <w:jc w:val="both"/>
        <w:rPr>
          <w:sz w:val="22"/>
          <w:szCs w:val="22"/>
        </w:rPr>
      </w:pPr>
      <w:r w:rsidRPr="005B6405">
        <w:t>10.</w:t>
      </w:r>
      <w:r w:rsidR="003C74EE" w:rsidRPr="005B6405">
        <w:t>1</w:t>
      </w:r>
      <w:r w:rsidR="00253DE6" w:rsidRPr="005B6405">
        <w:t xml:space="preserve"> </w:t>
      </w:r>
      <w:r w:rsidR="000D2445" w:rsidRPr="005B6405">
        <w:tab/>
      </w:r>
      <w:r w:rsidR="00B72FDD" w:rsidRPr="005B6405">
        <w:rPr>
          <w:sz w:val="22"/>
          <w:szCs w:val="22"/>
        </w:rPr>
        <w:t>A pharmacy shall have access to the following minimum reference books:</w:t>
      </w:r>
    </w:p>
    <w:p w14:paraId="15F73C9B" w14:textId="7108BC88" w:rsidR="00B72FDD" w:rsidRPr="005B6405" w:rsidRDefault="009F10FD" w:rsidP="00D30BAF">
      <w:pPr>
        <w:pStyle w:val="ListParagraph"/>
        <w:numPr>
          <w:ilvl w:val="0"/>
          <w:numId w:val="1"/>
        </w:numPr>
        <w:spacing w:after="120" w:line="240" w:lineRule="auto"/>
        <w:jc w:val="both"/>
        <w:rPr>
          <w:sz w:val="22"/>
          <w:szCs w:val="22"/>
        </w:rPr>
      </w:pPr>
      <w:r w:rsidRPr="005B6405">
        <w:rPr>
          <w:sz w:val="22"/>
          <w:szCs w:val="22"/>
        </w:rPr>
        <w:t xml:space="preserve">Access to </w:t>
      </w:r>
      <w:r w:rsidR="00B72FDD" w:rsidRPr="005B6405">
        <w:rPr>
          <w:sz w:val="22"/>
          <w:szCs w:val="22"/>
        </w:rPr>
        <w:t>Medscape on-line</w:t>
      </w:r>
      <w:r w:rsidRPr="005B6405">
        <w:rPr>
          <w:sz w:val="22"/>
          <w:szCs w:val="22"/>
        </w:rPr>
        <w:t>.</w:t>
      </w:r>
      <w:r w:rsidR="00BC1AE4" w:rsidRPr="005B6405">
        <w:rPr>
          <w:sz w:val="22"/>
          <w:szCs w:val="22"/>
        </w:rPr>
        <w:t xml:space="preserve"> </w:t>
      </w:r>
    </w:p>
    <w:p w14:paraId="48DCD090" w14:textId="44A2175F" w:rsidR="00B72FDD" w:rsidRPr="005B6405" w:rsidRDefault="00B72FDD" w:rsidP="00D30BAF">
      <w:pPr>
        <w:pStyle w:val="ListParagraph"/>
        <w:numPr>
          <w:ilvl w:val="0"/>
          <w:numId w:val="1"/>
        </w:numPr>
        <w:spacing w:after="120" w:line="240" w:lineRule="auto"/>
        <w:jc w:val="both"/>
        <w:rPr>
          <w:sz w:val="22"/>
          <w:szCs w:val="22"/>
        </w:rPr>
      </w:pPr>
      <w:r w:rsidRPr="005B6405">
        <w:rPr>
          <w:sz w:val="22"/>
          <w:szCs w:val="22"/>
        </w:rPr>
        <w:t xml:space="preserve">The latest addition of MIMS or BNF, any other compendium or MDR up to 2 years </w:t>
      </w:r>
      <w:proofErr w:type="gramStart"/>
      <w:r w:rsidRPr="005B6405">
        <w:rPr>
          <w:sz w:val="22"/>
          <w:szCs w:val="22"/>
        </w:rPr>
        <w:t>old;</w:t>
      </w:r>
      <w:proofErr w:type="gramEnd"/>
    </w:p>
    <w:p w14:paraId="1E240EA3" w14:textId="7DAB110F" w:rsidR="008210F3" w:rsidRPr="005B6405" w:rsidRDefault="00B72FDD" w:rsidP="00D30BAF">
      <w:pPr>
        <w:pStyle w:val="ListParagraph"/>
        <w:numPr>
          <w:ilvl w:val="0"/>
          <w:numId w:val="1"/>
        </w:numPr>
        <w:spacing w:after="120" w:line="240" w:lineRule="auto"/>
        <w:jc w:val="both"/>
        <w:rPr>
          <w:sz w:val="22"/>
          <w:szCs w:val="22"/>
        </w:rPr>
      </w:pPr>
      <w:r w:rsidRPr="005B6405">
        <w:rPr>
          <w:sz w:val="22"/>
          <w:szCs w:val="22"/>
        </w:rPr>
        <w:t xml:space="preserve">A </w:t>
      </w:r>
      <w:r w:rsidR="00BC1AE4" w:rsidRPr="005B6405">
        <w:rPr>
          <w:sz w:val="22"/>
          <w:szCs w:val="22"/>
        </w:rPr>
        <w:t>M</w:t>
      </w:r>
      <w:r w:rsidRPr="005B6405">
        <w:rPr>
          <w:sz w:val="22"/>
          <w:szCs w:val="22"/>
        </w:rPr>
        <w:t xml:space="preserve">edical </w:t>
      </w:r>
      <w:r w:rsidR="00E739C1" w:rsidRPr="005B6405">
        <w:rPr>
          <w:sz w:val="22"/>
          <w:szCs w:val="22"/>
        </w:rPr>
        <w:t>dictionary</w:t>
      </w:r>
      <w:r w:rsidR="00BF2C52" w:rsidRPr="005B6405">
        <w:rPr>
          <w:sz w:val="22"/>
          <w:szCs w:val="22"/>
        </w:rPr>
        <w:t>, not more than 5 years old.</w:t>
      </w:r>
    </w:p>
    <w:p w14:paraId="7DE08F73" w14:textId="517E8FA0" w:rsidR="00B72FDD" w:rsidRPr="005B6405" w:rsidRDefault="0069216B" w:rsidP="00D30BAF">
      <w:pPr>
        <w:pStyle w:val="ListParagraph"/>
        <w:numPr>
          <w:ilvl w:val="0"/>
          <w:numId w:val="1"/>
        </w:numPr>
        <w:spacing w:after="120" w:line="240" w:lineRule="auto"/>
        <w:jc w:val="both"/>
        <w:rPr>
          <w:sz w:val="22"/>
          <w:szCs w:val="22"/>
        </w:rPr>
      </w:pPr>
      <w:r w:rsidRPr="005B6405">
        <w:rPr>
          <w:sz w:val="22"/>
          <w:szCs w:val="22"/>
        </w:rPr>
        <w:t>Medicines and Related substances Act, 2025, and Medicines and Related Substances Regulation. 20</w:t>
      </w:r>
      <w:r w:rsidR="003C74EE" w:rsidRPr="005B6405">
        <w:rPr>
          <w:sz w:val="22"/>
          <w:szCs w:val="22"/>
        </w:rPr>
        <w:t>19</w:t>
      </w:r>
      <w:r w:rsidRPr="005B6405">
        <w:rPr>
          <w:sz w:val="22"/>
          <w:szCs w:val="22"/>
        </w:rPr>
        <w:t>.</w:t>
      </w:r>
    </w:p>
    <w:p w14:paraId="05406EBD" w14:textId="56088F3E" w:rsidR="0094680A" w:rsidRPr="005B6405" w:rsidRDefault="00FF0C48" w:rsidP="00D30BAF">
      <w:pPr>
        <w:pStyle w:val="ListParagraph"/>
        <w:numPr>
          <w:ilvl w:val="0"/>
          <w:numId w:val="1"/>
        </w:numPr>
        <w:spacing w:after="120" w:line="240" w:lineRule="auto"/>
        <w:jc w:val="both"/>
        <w:rPr>
          <w:sz w:val="22"/>
          <w:szCs w:val="22"/>
        </w:rPr>
      </w:pPr>
      <w:r w:rsidRPr="005B6405">
        <w:rPr>
          <w:sz w:val="22"/>
          <w:szCs w:val="22"/>
        </w:rPr>
        <w:t>Access to the Human Medicines Register</w:t>
      </w:r>
      <w:r w:rsidR="0002791D" w:rsidRPr="005B6405">
        <w:rPr>
          <w:sz w:val="22"/>
          <w:szCs w:val="22"/>
        </w:rPr>
        <w:t>s</w:t>
      </w:r>
      <w:r w:rsidRPr="005B6405">
        <w:rPr>
          <w:sz w:val="22"/>
          <w:szCs w:val="22"/>
        </w:rPr>
        <w:t xml:space="preserve"> on the BRIMS Portal</w:t>
      </w:r>
    </w:p>
    <w:p w14:paraId="7D453B15" w14:textId="11FBE6A4" w:rsidR="00EE4208" w:rsidRPr="005B6405" w:rsidRDefault="006C25BE" w:rsidP="00D30BAF">
      <w:pPr>
        <w:contextualSpacing/>
        <w:jc w:val="both"/>
        <w:rPr>
          <w:rFonts w:eastAsia="Times New Roman"/>
          <w:b/>
        </w:rPr>
      </w:pPr>
      <w:bookmarkStart w:id="49" w:name="_Toc41489329"/>
      <w:r w:rsidRPr="005B6405">
        <w:rPr>
          <w:b/>
        </w:rPr>
        <w:t>1</w:t>
      </w:r>
      <w:r w:rsidR="009638C5" w:rsidRPr="005B6405">
        <w:rPr>
          <w:b/>
        </w:rPr>
        <w:t>1</w:t>
      </w:r>
      <w:r w:rsidR="00AB62CF" w:rsidRPr="005B6405">
        <w:rPr>
          <w:b/>
        </w:rPr>
        <w:t xml:space="preserve">. </w:t>
      </w:r>
      <w:r w:rsidR="00EE4208" w:rsidRPr="005B6405">
        <w:rPr>
          <w:rFonts w:eastAsia="Times New Roman"/>
          <w:b/>
        </w:rPr>
        <w:t xml:space="preserve">Release of Customer Information </w:t>
      </w:r>
    </w:p>
    <w:p w14:paraId="73CF044A" w14:textId="4CB8DF5E" w:rsidR="002733EB" w:rsidRPr="0028248B" w:rsidRDefault="00630C51" w:rsidP="00D30BAF">
      <w:pPr>
        <w:pStyle w:val="ListParagraph"/>
        <w:numPr>
          <w:ilvl w:val="1"/>
          <w:numId w:val="36"/>
        </w:numPr>
        <w:jc w:val="both"/>
        <w:rPr>
          <w:rFonts w:eastAsia="Times New Roman" w:cs="TimesNewRomanPSMT"/>
          <w:sz w:val="22"/>
          <w:szCs w:val="22"/>
        </w:rPr>
      </w:pPr>
      <w:r w:rsidRPr="0028248B">
        <w:rPr>
          <w:rFonts w:eastAsia="Times New Roman" w:cs="TimesNewRomanPSMT"/>
          <w:sz w:val="22"/>
          <w:szCs w:val="22"/>
        </w:rPr>
        <w:t>B</w:t>
      </w:r>
      <w:r w:rsidR="005B0F7B" w:rsidRPr="0028248B">
        <w:rPr>
          <w:rFonts w:eastAsia="Times New Roman" w:cs="TimesNewRomanPSMT"/>
          <w:sz w:val="22"/>
          <w:szCs w:val="22"/>
        </w:rPr>
        <w:t>o</w:t>
      </w:r>
      <w:r w:rsidRPr="0028248B">
        <w:rPr>
          <w:rFonts w:eastAsia="Times New Roman" w:cs="TimesNewRomanPSMT"/>
          <w:sz w:val="22"/>
          <w:szCs w:val="22"/>
        </w:rPr>
        <w:t xml:space="preserve">MRA Inspections and </w:t>
      </w:r>
      <w:r w:rsidR="005B0F7B" w:rsidRPr="0028248B">
        <w:rPr>
          <w:rFonts w:eastAsia="Times New Roman" w:cs="TimesNewRomanPSMT"/>
          <w:sz w:val="22"/>
          <w:szCs w:val="22"/>
        </w:rPr>
        <w:t>L</w:t>
      </w:r>
      <w:r w:rsidRPr="0028248B">
        <w:rPr>
          <w:rFonts w:eastAsia="Times New Roman" w:cs="TimesNewRomanPSMT"/>
          <w:sz w:val="22"/>
          <w:szCs w:val="22"/>
        </w:rPr>
        <w:t xml:space="preserve">icensing </w:t>
      </w:r>
      <w:r w:rsidR="005B0F7B" w:rsidRPr="0028248B">
        <w:rPr>
          <w:rFonts w:eastAsia="Times New Roman" w:cs="TimesNewRomanPSMT"/>
          <w:sz w:val="22"/>
          <w:szCs w:val="22"/>
        </w:rPr>
        <w:t>D</w:t>
      </w:r>
      <w:r w:rsidRPr="0028248B">
        <w:rPr>
          <w:rFonts w:eastAsia="Times New Roman" w:cs="TimesNewRomanPSMT"/>
          <w:sz w:val="22"/>
          <w:szCs w:val="22"/>
        </w:rPr>
        <w:t>epartment holds the information relating to customers in strict confidence as the terms and conditions of services provided. Except for information that the customer places in the public domain or when agreed between the Inspectorate and the customer, all other information is considered proprietary information and shall be regarded as confidential</w:t>
      </w:r>
      <w:r w:rsidR="005B0F7B" w:rsidRPr="0028248B">
        <w:rPr>
          <w:rFonts w:eastAsia="Times New Roman" w:cs="TimesNewRomanPSMT"/>
          <w:sz w:val="22"/>
          <w:szCs w:val="22"/>
        </w:rPr>
        <w:t>.</w:t>
      </w:r>
    </w:p>
    <w:p w14:paraId="76CE4FED" w14:textId="50EE44C7" w:rsidR="002733EB" w:rsidRPr="0028248B" w:rsidRDefault="00630C51" w:rsidP="00D30BAF">
      <w:pPr>
        <w:pStyle w:val="ListParagraph"/>
        <w:numPr>
          <w:ilvl w:val="1"/>
          <w:numId w:val="36"/>
        </w:numPr>
        <w:jc w:val="both"/>
        <w:rPr>
          <w:rFonts w:eastAsia="Times New Roman" w:cs="TimesNewRomanPSMT"/>
          <w:sz w:val="22"/>
          <w:szCs w:val="22"/>
        </w:rPr>
      </w:pPr>
      <w:r w:rsidRPr="0028248B">
        <w:rPr>
          <w:rFonts w:eastAsia="Times New Roman" w:cs="TimesNewRomanPSMT"/>
          <w:sz w:val="22"/>
          <w:szCs w:val="22"/>
        </w:rPr>
        <w:t>The inspection body shall seek authorization and clearance from the Chief Executive Officer,</w:t>
      </w:r>
      <w:r w:rsidRPr="0028248B">
        <w:rPr>
          <w:rFonts w:eastAsia="Times New Roman" w:cs="TimesNewRomanPSMT"/>
          <w:bCs/>
          <w:sz w:val="22"/>
          <w:szCs w:val="22"/>
        </w:rPr>
        <w:t xml:space="preserve"> </w:t>
      </w:r>
      <w:r w:rsidRPr="0028248B">
        <w:rPr>
          <w:rFonts w:eastAsia="Times New Roman" w:cs="TimesNewRomanPSMT"/>
          <w:sz w:val="22"/>
          <w:szCs w:val="22"/>
        </w:rPr>
        <w:t>before any customer information is placed in the public domain or shared with a third party</w:t>
      </w:r>
      <w:r w:rsidR="005B0F7B" w:rsidRPr="0028248B">
        <w:rPr>
          <w:rFonts w:eastAsia="Times New Roman" w:cs="TimesNewRomanPSMT"/>
          <w:sz w:val="22"/>
          <w:szCs w:val="22"/>
        </w:rPr>
        <w:t>.</w:t>
      </w:r>
    </w:p>
    <w:p w14:paraId="144F2BB6" w14:textId="6181A3D4" w:rsidR="002733EB" w:rsidRPr="0028248B" w:rsidRDefault="00630C51" w:rsidP="00D30BAF">
      <w:pPr>
        <w:pStyle w:val="ListParagraph"/>
        <w:numPr>
          <w:ilvl w:val="1"/>
          <w:numId w:val="36"/>
        </w:numPr>
        <w:jc w:val="both"/>
        <w:rPr>
          <w:rFonts w:eastAsia="Times New Roman" w:cs="TimesNewRomanPSMT"/>
          <w:sz w:val="22"/>
          <w:szCs w:val="22"/>
        </w:rPr>
      </w:pPr>
      <w:r w:rsidRPr="0028248B">
        <w:rPr>
          <w:rFonts w:eastAsia="Times New Roman" w:cs="TimesNewRomanPSMT"/>
          <w:sz w:val="22"/>
          <w:szCs w:val="22"/>
        </w:rPr>
        <w:t>The inspection body shall notify the customer in advance, unless prohibited by law, when the inspection body is required, by law or authorized by contractual arrangements, to release confidential customer information</w:t>
      </w:r>
      <w:r w:rsidR="005B0F7B" w:rsidRPr="0028248B">
        <w:rPr>
          <w:rFonts w:eastAsia="Times New Roman" w:cs="TimesNewRomanPSMT"/>
          <w:sz w:val="22"/>
          <w:szCs w:val="22"/>
        </w:rPr>
        <w:t>.</w:t>
      </w:r>
    </w:p>
    <w:p w14:paraId="0F8510D3" w14:textId="5A044E3F" w:rsidR="002733EB" w:rsidRPr="0028248B" w:rsidRDefault="00630C51" w:rsidP="00D30BAF">
      <w:pPr>
        <w:pStyle w:val="ListParagraph"/>
        <w:numPr>
          <w:ilvl w:val="1"/>
          <w:numId w:val="36"/>
        </w:numPr>
        <w:jc w:val="both"/>
        <w:rPr>
          <w:rFonts w:eastAsia="Times New Roman" w:cs="TimesNewRomanPSMT"/>
          <w:sz w:val="22"/>
          <w:szCs w:val="22"/>
        </w:rPr>
      </w:pPr>
      <w:r w:rsidRPr="0028248B">
        <w:rPr>
          <w:rFonts w:eastAsia="Times New Roman" w:cs="TimesNewRomanPSMT"/>
          <w:sz w:val="22"/>
          <w:szCs w:val="22"/>
        </w:rPr>
        <w:t>Information about the customer obtained from other sources other than the customer (e.g. complainant), shall remain confidential between the inspection body and the customer. Identity of the source can only be shared with the customer if the source has agreed to it in writing</w:t>
      </w:r>
      <w:r w:rsidR="005B0F7B" w:rsidRPr="0028248B">
        <w:rPr>
          <w:rFonts w:eastAsia="Times New Roman" w:cs="TimesNewRomanPSMT"/>
          <w:sz w:val="22"/>
          <w:szCs w:val="22"/>
        </w:rPr>
        <w:t>.</w:t>
      </w:r>
    </w:p>
    <w:p w14:paraId="217560E5" w14:textId="77777777" w:rsidR="00630C51" w:rsidRPr="0028248B" w:rsidRDefault="00630C51" w:rsidP="00D30BAF">
      <w:pPr>
        <w:pStyle w:val="ListParagraph"/>
        <w:numPr>
          <w:ilvl w:val="1"/>
          <w:numId w:val="36"/>
        </w:numPr>
        <w:jc w:val="both"/>
        <w:rPr>
          <w:rFonts w:eastAsia="Times New Roman" w:cs="TimesNewRomanPSMT"/>
          <w:sz w:val="22"/>
          <w:szCs w:val="22"/>
        </w:rPr>
      </w:pPr>
      <w:r w:rsidRPr="0028248B">
        <w:rPr>
          <w:rFonts w:eastAsia="Times New Roman" w:cs="TimesNewRomanPSMT"/>
          <w:sz w:val="22"/>
          <w:szCs w:val="22"/>
        </w:rPr>
        <w:t>The following information about the customer shall be shared through BoMRA public domains</w:t>
      </w:r>
    </w:p>
    <w:p w14:paraId="2F130364" w14:textId="77777777" w:rsidR="00630C51" w:rsidRPr="0028248B" w:rsidRDefault="00630C51"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lastRenderedPageBreak/>
        <w:t>Company Name (license and business name)</w:t>
      </w:r>
    </w:p>
    <w:p w14:paraId="0775D0C6" w14:textId="77777777" w:rsidR="00630C51" w:rsidRPr="0028248B" w:rsidRDefault="00630C51"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t>License number</w:t>
      </w:r>
    </w:p>
    <w:p w14:paraId="4DD6ED4F" w14:textId="77777777" w:rsidR="00630C51" w:rsidRPr="0028248B" w:rsidRDefault="00630C51"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t>Business address (physical address)</w:t>
      </w:r>
    </w:p>
    <w:p w14:paraId="495ABE13" w14:textId="77777777" w:rsidR="00630C51" w:rsidRPr="0028248B" w:rsidRDefault="00630C51"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t>Type of business (authorized activity)</w:t>
      </w:r>
    </w:p>
    <w:p w14:paraId="3D4E0C6E" w14:textId="77777777" w:rsidR="009705E8" w:rsidRPr="0028248B" w:rsidRDefault="00630C51"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t>Authorised Person’s Nam</w:t>
      </w:r>
      <w:r w:rsidR="009705E8" w:rsidRPr="0028248B">
        <w:rPr>
          <w:rFonts w:eastAsia="Times New Roman" w:cs="TimesNewRomanPSMT"/>
          <w:sz w:val="22"/>
          <w:szCs w:val="22"/>
        </w:rPr>
        <w:t>e</w:t>
      </w:r>
    </w:p>
    <w:p w14:paraId="26E630A3" w14:textId="595B59E8" w:rsidR="009705E8" w:rsidRPr="0028248B" w:rsidRDefault="00630C51"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t>License validity</w:t>
      </w:r>
    </w:p>
    <w:p w14:paraId="45CD4612" w14:textId="5C94CC9C" w:rsidR="00BC0413" w:rsidRPr="0028248B" w:rsidRDefault="00BC0413" w:rsidP="00D30BAF">
      <w:pPr>
        <w:numPr>
          <w:ilvl w:val="0"/>
          <w:numId w:val="35"/>
        </w:numPr>
        <w:contextualSpacing/>
        <w:jc w:val="both"/>
        <w:rPr>
          <w:rFonts w:eastAsia="Times New Roman" w:cs="TimesNewRomanPSMT"/>
          <w:sz w:val="22"/>
          <w:szCs w:val="22"/>
        </w:rPr>
      </w:pPr>
      <w:r w:rsidRPr="0028248B">
        <w:rPr>
          <w:rFonts w:eastAsia="Times New Roman" w:cs="TimesNewRomanPSMT"/>
          <w:sz w:val="22"/>
          <w:szCs w:val="22"/>
        </w:rPr>
        <w:t xml:space="preserve">Facility Compliance status </w:t>
      </w:r>
    </w:p>
    <w:bookmarkEnd w:id="49"/>
    <w:p w14:paraId="19A0634E" w14:textId="77777777" w:rsidR="00A07E9D" w:rsidRPr="005B6405" w:rsidRDefault="00A07E9D" w:rsidP="00CA5F2C">
      <w:pPr>
        <w:ind w:left="360"/>
        <w:jc w:val="both"/>
      </w:pPr>
    </w:p>
    <w:p w14:paraId="6BAE9383" w14:textId="4C2AB144" w:rsidR="00217DF5" w:rsidRPr="005B6405" w:rsidRDefault="00BC0413" w:rsidP="00D30BAF">
      <w:pPr>
        <w:pStyle w:val="Heading1"/>
        <w:spacing w:before="0" w:after="120" w:line="240" w:lineRule="auto"/>
        <w:jc w:val="both"/>
        <w:rPr>
          <w:rFonts w:ascii="Gill Sans MT" w:hAnsi="Gill Sans MT"/>
          <w:b/>
          <w:bCs/>
          <w:color w:val="auto"/>
          <w:sz w:val="24"/>
          <w:szCs w:val="24"/>
        </w:rPr>
      </w:pPr>
      <w:bookmarkStart w:id="50" w:name="_Toc227072339"/>
      <w:r w:rsidRPr="005B6405">
        <w:rPr>
          <w:rFonts w:ascii="Gill Sans MT" w:hAnsi="Gill Sans MT"/>
          <w:b/>
          <w:color w:val="auto"/>
          <w:sz w:val="24"/>
          <w:szCs w:val="24"/>
        </w:rPr>
        <w:t>16</w:t>
      </w:r>
      <w:r w:rsidR="00EE4208" w:rsidRPr="005B6405">
        <w:rPr>
          <w:rFonts w:ascii="Gill Sans MT" w:hAnsi="Gill Sans MT"/>
          <w:b/>
          <w:color w:val="auto"/>
          <w:sz w:val="24"/>
          <w:szCs w:val="24"/>
        </w:rPr>
        <w:t xml:space="preserve">. </w:t>
      </w:r>
      <w:r w:rsidR="00EA191A" w:rsidRPr="005B6405">
        <w:rPr>
          <w:rFonts w:ascii="Gill Sans MT" w:hAnsi="Gill Sans MT"/>
          <w:b/>
          <w:color w:val="auto"/>
          <w:sz w:val="24"/>
          <w:szCs w:val="24"/>
        </w:rPr>
        <w:tab/>
      </w:r>
      <w:r w:rsidR="00267C39" w:rsidRPr="005B6405">
        <w:rPr>
          <w:rFonts w:ascii="Gill Sans MT" w:hAnsi="Gill Sans MT"/>
          <w:b/>
          <w:bCs/>
          <w:color w:val="auto"/>
          <w:sz w:val="24"/>
          <w:szCs w:val="24"/>
        </w:rPr>
        <w:t>Related Documents</w:t>
      </w:r>
      <w:bookmarkEnd w:id="50"/>
    </w:p>
    <w:p w14:paraId="57956702" w14:textId="07CBDEA6" w:rsidR="00EE4208" w:rsidRPr="005B6405" w:rsidRDefault="001E7AC6" w:rsidP="006834A3">
      <w:pPr>
        <w:spacing w:after="0"/>
      </w:pPr>
      <w:bookmarkStart w:id="51" w:name="_Toc41489330"/>
      <w:r w:rsidRPr="005B6405">
        <w:t>16.1</w:t>
      </w:r>
      <w:r w:rsidR="008268BC" w:rsidRPr="005B6405">
        <w:tab/>
      </w:r>
      <w:r w:rsidR="007179BE" w:rsidRPr="005B6405">
        <w:t>Declaration form for continuous supervision by a pharmacist</w:t>
      </w:r>
      <w:bookmarkEnd w:id="51"/>
      <w:r w:rsidR="00267C39" w:rsidRPr="005B6405">
        <w:t xml:space="preserve">; </w:t>
      </w:r>
      <w:r w:rsidR="00267C39" w:rsidRPr="005B6405">
        <w:rPr>
          <w:b/>
          <w:bCs/>
          <w:i/>
          <w:color w:val="0070C0"/>
        </w:rPr>
        <w:t>BOMRA/IL/IL/F03</w:t>
      </w:r>
      <w:bookmarkStart w:id="52" w:name="_Toc41489331"/>
    </w:p>
    <w:p w14:paraId="18352287" w14:textId="33293B35" w:rsidR="005C0AE9" w:rsidRPr="00EC0477" w:rsidRDefault="001E7AC6" w:rsidP="006834A3">
      <w:pPr>
        <w:spacing w:after="0"/>
        <w:rPr>
          <w:lang w:val="it-IT"/>
        </w:rPr>
      </w:pPr>
      <w:r w:rsidRPr="00EC0477">
        <w:rPr>
          <w:lang w:val="it-IT"/>
        </w:rPr>
        <w:t>16.2</w:t>
      </w:r>
      <w:r w:rsidR="00EA191A" w:rsidRPr="00EC0477">
        <w:rPr>
          <w:lang w:val="it-IT"/>
        </w:rPr>
        <w:tab/>
      </w:r>
      <w:r w:rsidR="005C0AE9" w:rsidRPr="00EC0477">
        <w:rPr>
          <w:lang w:val="it-IT"/>
        </w:rPr>
        <w:t>Application Form 8</w:t>
      </w:r>
      <w:bookmarkEnd w:id="52"/>
      <w:r w:rsidR="00267C39" w:rsidRPr="00EC0477">
        <w:rPr>
          <w:lang w:val="it-IT"/>
        </w:rPr>
        <w:t xml:space="preserve">; </w:t>
      </w:r>
      <w:r w:rsidR="00267C39" w:rsidRPr="00EC0477">
        <w:rPr>
          <w:b/>
          <w:bCs/>
          <w:i/>
          <w:color w:val="0070C0"/>
          <w:lang w:val="it-IT"/>
        </w:rPr>
        <w:t>BOMRA/IL/IL/F02</w:t>
      </w:r>
    </w:p>
    <w:p w14:paraId="62CB88A7" w14:textId="244D6ED4" w:rsidR="00234AC1" w:rsidRPr="00EC0477" w:rsidRDefault="00594D10" w:rsidP="006834A3">
      <w:pPr>
        <w:spacing w:after="0"/>
        <w:rPr>
          <w:lang w:val="it-IT"/>
        </w:rPr>
      </w:pPr>
      <w:bookmarkStart w:id="53" w:name="_Toc41489332"/>
      <w:r w:rsidRPr="00EC0477">
        <w:rPr>
          <w:lang w:val="it-IT"/>
        </w:rPr>
        <w:t>16.3</w:t>
      </w:r>
      <w:r w:rsidR="008268BC" w:rsidRPr="00EC0477">
        <w:rPr>
          <w:lang w:val="it-IT"/>
        </w:rPr>
        <w:tab/>
      </w:r>
      <w:r w:rsidR="00234AC1" w:rsidRPr="00EC0477">
        <w:rPr>
          <w:lang w:val="it-IT"/>
        </w:rPr>
        <w:t>Application submission checklist</w:t>
      </w:r>
      <w:bookmarkEnd w:id="53"/>
      <w:r w:rsidR="00267C39" w:rsidRPr="00EC0477">
        <w:rPr>
          <w:lang w:val="it-IT"/>
        </w:rPr>
        <w:t xml:space="preserve">; </w:t>
      </w:r>
      <w:r w:rsidR="00267C39" w:rsidRPr="00EC0477">
        <w:rPr>
          <w:b/>
          <w:bCs/>
          <w:i/>
          <w:color w:val="0070C0"/>
          <w:lang w:val="it-IT"/>
        </w:rPr>
        <w:t>BOMRA/IL/IL/F04</w:t>
      </w:r>
    </w:p>
    <w:p w14:paraId="66A091DC" w14:textId="7FE6BCB7" w:rsidR="00A069F9" w:rsidRPr="0019714C" w:rsidRDefault="00A069F9" w:rsidP="00CA5F2C">
      <w:pPr>
        <w:jc w:val="both"/>
        <w:rPr>
          <w:rFonts w:eastAsia="Gill Sans MT" w:cs="Gill Sans MT"/>
          <w:lang w:val="it-IT" w:bidi="en-US"/>
        </w:rPr>
      </w:pPr>
    </w:p>
    <w:sectPr w:rsidR="00A069F9" w:rsidRPr="0019714C" w:rsidSect="00AA4C35">
      <w:headerReference w:type="even"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5DE8" w14:textId="77777777" w:rsidR="00783AD3" w:rsidRPr="005B6405" w:rsidRDefault="00783AD3" w:rsidP="006C79B5">
      <w:pPr>
        <w:spacing w:after="0" w:line="240" w:lineRule="auto"/>
      </w:pPr>
      <w:r w:rsidRPr="005B6405">
        <w:separator/>
      </w:r>
    </w:p>
  </w:endnote>
  <w:endnote w:type="continuationSeparator" w:id="0">
    <w:p w14:paraId="5586F6A0" w14:textId="77777777" w:rsidR="00783AD3" w:rsidRPr="005B6405" w:rsidRDefault="00783AD3" w:rsidP="006C79B5">
      <w:pPr>
        <w:spacing w:after="0" w:line="240" w:lineRule="auto"/>
      </w:pPr>
      <w:r w:rsidRPr="005B6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C8AB" w14:textId="27EA9C5E" w:rsidR="000A5E1C" w:rsidRPr="005B6405" w:rsidRDefault="000A5E1C" w:rsidP="00801B29">
    <w:pPr>
      <w:jc w:val="center"/>
    </w:pPr>
    <w:r w:rsidRPr="005B6405">
      <w:rPr>
        <w:rFonts w:eastAsia="Times New Roman"/>
        <w:b/>
        <w:color w:val="FF0000"/>
        <w:sz w:val="18"/>
        <w:szCs w:val="18"/>
      </w:rPr>
      <w:t>This document is property of the Botswana Medicines Regulatory Authority (BOMRA). It is strictly confidential and may on no account be reproduced, copied or divulged to any third party without prior authorization by BOMRA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CA25" w14:textId="77777777" w:rsidR="00783AD3" w:rsidRPr="005B6405" w:rsidRDefault="00783AD3" w:rsidP="006C79B5">
      <w:pPr>
        <w:spacing w:after="0" w:line="240" w:lineRule="auto"/>
      </w:pPr>
      <w:r w:rsidRPr="005B6405">
        <w:separator/>
      </w:r>
    </w:p>
  </w:footnote>
  <w:footnote w:type="continuationSeparator" w:id="0">
    <w:p w14:paraId="28A66979" w14:textId="77777777" w:rsidR="00783AD3" w:rsidRPr="005B6405" w:rsidRDefault="00783AD3" w:rsidP="006C79B5">
      <w:pPr>
        <w:spacing w:after="0" w:line="240" w:lineRule="auto"/>
      </w:pPr>
      <w:r w:rsidRPr="005B64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D0F2" w14:textId="4FBFE259" w:rsidR="000A5E1C" w:rsidRPr="005B6405" w:rsidRDefault="00000000">
    <w:pPr>
      <w:pStyle w:val="Header"/>
    </w:pPr>
    <w:r>
      <w:pict w14:anchorId="08841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9.75pt;height:99.75pt;rotation:315;z-index:-251658240;mso-position-horizontal:center;mso-position-horizontal-relative:margin;mso-position-vertical:center;mso-position-vertical-relative:margin" o:allowincell="f" fillcolor="#c00000" stroked="f">
          <v:fill opacity=".5"/>
          <v:textpath style="font-family:&quot;Gill Sans MT Condensed&quot;;font-size:80pt" string="Draft for com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32" w:type="dxa"/>
      <w:tblLayout w:type="fixed"/>
      <w:tblCellMar>
        <w:left w:w="0" w:type="dxa"/>
        <w:right w:w="0" w:type="dxa"/>
      </w:tblCellMar>
      <w:tblLook w:val="0000" w:firstRow="0" w:lastRow="0" w:firstColumn="0" w:lastColumn="0" w:noHBand="0" w:noVBand="0"/>
    </w:tblPr>
    <w:tblGrid>
      <w:gridCol w:w="4822"/>
      <w:gridCol w:w="5101"/>
    </w:tblGrid>
    <w:tr w:rsidR="002448A4" w:rsidRPr="005B6405" w14:paraId="74D137CC" w14:textId="77777777">
      <w:trPr>
        <w:trHeight w:val="232"/>
      </w:trPr>
      <w:tc>
        <w:tcPr>
          <w:tcW w:w="4822" w:type="dxa"/>
          <w:vMerge w:val="restart"/>
          <w:tcBorders>
            <w:top w:val="single" w:sz="8" w:space="0" w:color="auto"/>
            <w:left w:val="single" w:sz="8" w:space="0" w:color="auto"/>
            <w:right w:val="single" w:sz="8" w:space="0" w:color="auto"/>
          </w:tcBorders>
          <w:vAlign w:val="bottom"/>
        </w:tcPr>
        <w:p w14:paraId="6F379717" w14:textId="77777777" w:rsidR="002448A4" w:rsidRPr="0028248B" w:rsidRDefault="002448A4" w:rsidP="002448A4">
          <w:pPr>
            <w:spacing w:after="0" w:line="0" w:lineRule="atLeast"/>
            <w:rPr>
              <w:rFonts w:eastAsia="Times New Roman" w:cs="Arial"/>
              <w:b/>
              <w:sz w:val="20"/>
              <w:szCs w:val="20"/>
            </w:rPr>
          </w:pPr>
        </w:p>
        <w:p w14:paraId="6759166C" w14:textId="20EE83CE" w:rsidR="002448A4" w:rsidRPr="0028248B" w:rsidRDefault="002448A4" w:rsidP="00CA5F2C">
          <w:pPr>
            <w:spacing w:after="0" w:line="0" w:lineRule="atLeast"/>
            <w:ind w:left="1440"/>
            <w:rPr>
              <w:rFonts w:eastAsia="Times New Roman" w:cs="Arial"/>
              <w:b/>
              <w:sz w:val="20"/>
              <w:szCs w:val="20"/>
            </w:rPr>
          </w:pPr>
          <w:r w:rsidRPr="0028248B">
            <w:rPr>
              <w:rFonts w:eastAsia="Calibri" w:cs="Arial"/>
              <w:noProof/>
              <w:sz w:val="22"/>
              <w:szCs w:val="22"/>
            </w:rPr>
            <w:drawing>
              <wp:inline distT="0" distB="0" distL="0" distR="0" wp14:anchorId="109D37D7" wp14:editId="7A73F916">
                <wp:extent cx="109728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65760"/>
                        </a:xfrm>
                        <a:prstGeom prst="rect">
                          <a:avLst/>
                        </a:prstGeom>
                        <a:noFill/>
                        <a:ln>
                          <a:noFill/>
                        </a:ln>
                      </pic:spPr>
                    </pic:pic>
                  </a:graphicData>
                </a:graphic>
              </wp:inline>
            </w:drawing>
          </w:r>
        </w:p>
        <w:p w14:paraId="1910CAD8" w14:textId="40C6998F" w:rsidR="002448A4" w:rsidRPr="0028248B" w:rsidRDefault="002448A4" w:rsidP="00CA5F2C">
          <w:pPr>
            <w:spacing w:after="0" w:line="0" w:lineRule="atLeast"/>
            <w:jc w:val="center"/>
            <w:rPr>
              <w:rFonts w:eastAsia="Times New Roman" w:cs="Arial"/>
              <w:sz w:val="20"/>
              <w:szCs w:val="20"/>
            </w:rPr>
          </w:pPr>
          <w:r w:rsidRPr="0028248B">
            <w:rPr>
              <w:rFonts w:eastAsia="Times New Roman" w:cs="Arial"/>
              <w:b/>
              <w:sz w:val="20"/>
              <w:szCs w:val="20"/>
            </w:rPr>
            <w:t>Botswana Medicines Regulatory Authority</w:t>
          </w:r>
        </w:p>
      </w:tc>
      <w:tc>
        <w:tcPr>
          <w:tcW w:w="5101" w:type="dxa"/>
          <w:tcBorders>
            <w:top w:val="single" w:sz="8" w:space="0" w:color="auto"/>
            <w:right w:val="single" w:sz="8" w:space="0" w:color="auto"/>
          </w:tcBorders>
          <w:vAlign w:val="bottom"/>
        </w:tcPr>
        <w:p w14:paraId="344276B8" w14:textId="684DAB51" w:rsidR="002448A4" w:rsidRPr="005B6405" w:rsidRDefault="00FE6E25" w:rsidP="002448A4">
          <w:pPr>
            <w:spacing w:after="0" w:line="0" w:lineRule="atLeast"/>
            <w:rPr>
              <w:rFonts w:eastAsia="Times New Roman" w:cs="Arial"/>
              <w:sz w:val="20"/>
              <w:szCs w:val="20"/>
            </w:rPr>
          </w:pPr>
          <w:r w:rsidRPr="005B6405">
            <w:rPr>
              <w:rFonts w:eastAsia="Times New Roman" w:cs="Arial"/>
              <w:sz w:val="20"/>
              <w:szCs w:val="20"/>
            </w:rPr>
            <w:t xml:space="preserve">Page </w:t>
          </w:r>
          <w:r w:rsidRPr="005B6405">
            <w:rPr>
              <w:rFonts w:eastAsia="Times New Roman" w:cs="Arial"/>
              <w:b/>
              <w:bCs/>
              <w:sz w:val="20"/>
              <w:szCs w:val="20"/>
            </w:rPr>
            <w:fldChar w:fldCharType="begin"/>
          </w:r>
          <w:r w:rsidRPr="005B6405">
            <w:rPr>
              <w:rFonts w:eastAsia="Times New Roman" w:cs="Arial"/>
              <w:b/>
              <w:bCs/>
              <w:sz w:val="20"/>
              <w:szCs w:val="20"/>
            </w:rPr>
            <w:instrText xml:space="preserve"> PAGE  \* Arabic  \* MERGEFORMAT </w:instrText>
          </w:r>
          <w:r w:rsidRPr="005B6405">
            <w:rPr>
              <w:rFonts w:eastAsia="Times New Roman" w:cs="Arial"/>
              <w:b/>
              <w:bCs/>
              <w:sz w:val="20"/>
              <w:szCs w:val="20"/>
            </w:rPr>
            <w:fldChar w:fldCharType="separate"/>
          </w:r>
          <w:r w:rsidRPr="0028248B">
            <w:rPr>
              <w:rFonts w:eastAsia="Times New Roman" w:cs="Arial"/>
              <w:b/>
              <w:bCs/>
              <w:sz w:val="20"/>
              <w:szCs w:val="20"/>
            </w:rPr>
            <w:t>1</w:t>
          </w:r>
          <w:r w:rsidRPr="005B6405">
            <w:rPr>
              <w:rFonts w:eastAsia="Times New Roman" w:cs="Arial"/>
              <w:b/>
              <w:bCs/>
              <w:sz w:val="20"/>
              <w:szCs w:val="20"/>
            </w:rPr>
            <w:fldChar w:fldCharType="end"/>
          </w:r>
          <w:r w:rsidRPr="005B6405">
            <w:rPr>
              <w:rFonts w:eastAsia="Times New Roman" w:cs="Arial"/>
              <w:sz w:val="20"/>
              <w:szCs w:val="20"/>
            </w:rPr>
            <w:t xml:space="preserve"> of </w:t>
          </w:r>
          <w:r w:rsidRPr="005B6405">
            <w:rPr>
              <w:rFonts w:eastAsia="Times New Roman" w:cs="Arial"/>
              <w:b/>
              <w:bCs/>
              <w:sz w:val="20"/>
              <w:szCs w:val="20"/>
            </w:rPr>
            <w:fldChar w:fldCharType="begin"/>
          </w:r>
          <w:r w:rsidRPr="005B6405">
            <w:rPr>
              <w:rFonts w:eastAsia="Times New Roman" w:cs="Arial"/>
              <w:b/>
              <w:bCs/>
              <w:sz w:val="20"/>
              <w:szCs w:val="20"/>
            </w:rPr>
            <w:instrText xml:space="preserve"> NUMPAGES  \* Arabic  \* MERGEFORMAT </w:instrText>
          </w:r>
          <w:r w:rsidRPr="005B6405">
            <w:rPr>
              <w:rFonts w:eastAsia="Times New Roman" w:cs="Arial"/>
              <w:b/>
              <w:bCs/>
              <w:sz w:val="20"/>
              <w:szCs w:val="20"/>
            </w:rPr>
            <w:fldChar w:fldCharType="separate"/>
          </w:r>
          <w:r w:rsidRPr="0028248B">
            <w:rPr>
              <w:rFonts w:eastAsia="Times New Roman" w:cs="Arial"/>
              <w:b/>
              <w:bCs/>
              <w:sz w:val="20"/>
              <w:szCs w:val="20"/>
            </w:rPr>
            <w:t>2</w:t>
          </w:r>
          <w:r w:rsidRPr="005B6405">
            <w:rPr>
              <w:rFonts w:eastAsia="Times New Roman" w:cs="Arial"/>
              <w:b/>
              <w:bCs/>
              <w:sz w:val="20"/>
              <w:szCs w:val="20"/>
            </w:rPr>
            <w:fldChar w:fldCharType="end"/>
          </w:r>
        </w:p>
      </w:tc>
    </w:tr>
    <w:tr w:rsidR="002448A4" w:rsidRPr="005B6405" w14:paraId="23C035AA" w14:textId="77777777">
      <w:trPr>
        <w:trHeight w:val="80"/>
      </w:trPr>
      <w:tc>
        <w:tcPr>
          <w:tcW w:w="4822" w:type="dxa"/>
          <w:vMerge/>
          <w:tcBorders>
            <w:left w:val="single" w:sz="8" w:space="0" w:color="auto"/>
            <w:right w:val="single" w:sz="8" w:space="0" w:color="auto"/>
          </w:tcBorders>
          <w:vAlign w:val="bottom"/>
        </w:tcPr>
        <w:p w14:paraId="19568DD7" w14:textId="77777777" w:rsidR="002448A4" w:rsidRPr="0028248B" w:rsidRDefault="002448A4" w:rsidP="002448A4">
          <w:pPr>
            <w:spacing w:after="0" w:line="0" w:lineRule="atLeast"/>
            <w:rPr>
              <w:rFonts w:eastAsia="Times New Roman" w:cs="Arial"/>
              <w:sz w:val="6"/>
              <w:szCs w:val="20"/>
            </w:rPr>
          </w:pPr>
        </w:p>
      </w:tc>
      <w:tc>
        <w:tcPr>
          <w:tcW w:w="5101" w:type="dxa"/>
          <w:tcBorders>
            <w:bottom w:val="single" w:sz="8" w:space="0" w:color="auto"/>
            <w:right w:val="single" w:sz="8" w:space="0" w:color="auto"/>
          </w:tcBorders>
          <w:vAlign w:val="bottom"/>
        </w:tcPr>
        <w:p w14:paraId="288C26FB" w14:textId="77777777" w:rsidR="002448A4" w:rsidRPr="0028248B" w:rsidRDefault="002448A4" w:rsidP="002448A4">
          <w:pPr>
            <w:spacing w:after="0" w:line="0" w:lineRule="atLeast"/>
            <w:rPr>
              <w:rFonts w:eastAsia="Times New Roman" w:cs="Arial"/>
              <w:sz w:val="6"/>
              <w:szCs w:val="20"/>
            </w:rPr>
          </w:pPr>
        </w:p>
      </w:tc>
    </w:tr>
    <w:tr w:rsidR="002448A4" w:rsidRPr="005B6405" w14:paraId="46B10B26" w14:textId="77777777">
      <w:trPr>
        <w:trHeight w:val="214"/>
      </w:trPr>
      <w:tc>
        <w:tcPr>
          <w:tcW w:w="4822" w:type="dxa"/>
          <w:vMerge/>
          <w:tcBorders>
            <w:left w:val="single" w:sz="8" w:space="0" w:color="auto"/>
            <w:right w:val="single" w:sz="8" w:space="0" w:color="auto"/>
          </w:tcBorders>
          <w:vAlign w:val="bottom"/>
        </w:tcPr>
        <w:p w14:paraId="1FD7835E" w14:textId="77777777" w:rsidR="002448A4" w:rsidRPr="0028248B" w:rsidRDefault="002448A4" w:rsidP="002448A4">
          <w:pPr>
            <w:spacing w:after="0" w:line="0" w:lineRule="atLeast"/>
            <w:rPr>
              <w:rFonts w:eastAsia="Times New Roman" w:cs="Arial"/>
              <w:sz w:val="18"/>
              <w:szCs w:val="20"/>
            </w:rPr>
          </w:pPr>
        </w:p>
      </w:tc>
      <w:tc>
        <w:tcPr>
          <w:tcW w:w="5101" w:type="dxa"/>
          <w:tcBorders>
            <w:right w:val="single" w:sz="8" w:space="0" w:color="auto"/>
          </w:tcBorders>
          <w:vAlign w:val="bottom"/>
        </w:tcPr>
        <w:p w14:paraId="29D76100" w14:textId="77777777" w:rsidR="002448A4" w:rsidRPr="005B6405" w:rsidRDefault="002448A4" w:rsidP="002448A4">
          <w:pPr>
            <w:spacing w:after="0" w:line="214" w:lineRule="exact"/>
            <w:ind w:left="100"/>
            <w:rPr>
              <w:rFonts w:eastAsia="Times New Roman" w:cs="Arial"/>
              <w:sz w:val="20"/>
              <w:szCs w:val="20"/>
            </w:rPr>
          </w:pPr>
          <w:r w:rsidRPr="0028248B">
            <w:rPr>
              <w:rFonts w:eastAsia="Times New Roman" w:cs="Arial"/>
              <w:b/>
              <w:sz w:val="20"/>
              <w:szCs w:val="20"/>
            </w:rPr>
            <w:t>Document type:</w:t>
          </w:r>
          <w:r w:rsidRPr="005B6405">
            <w:rPr>
              <w:rFonts w:eastAsia="Times New Roman" w:cs="Arial"/>
              <w:sz w:val="20"/>
              <w:szCs w:val="20"/>
            </w:rPr>
            <w:t xml:space="preserve"> </w:t>
          </w:r>
          <w:r w:rsidRPr="005B6405">
            <w:rPr>
              <w:rFonts w:eastAsia="Times New Roman" w:cs="Arial"/>
              <w:color w:val="000000" w:themeColor="text1"/>
              <w:sz w:val="20"/>
              <w:szCs w:val="20"/>
            </w:rPr>
            <w:t>Guidelines</w:t>
          </w:r>
        </w:p>
      </w:tc>
    </w:tr>
    <w:tr w:rsidR="002448A4" w:rsidRPr="005B6405" w14:paraId="762EC62A" w14:textId="77777777">
      <w:trPr>
        <w:trHeight w:val="78"/>
      </w:trPr>
      <w:tc>
        <w:tcPr>
          <w:tcW w:w="4822" w:type="dxa"/>
          <w:vMerge/>
          <w:tcBorders>
            <w:left w:val="single" w:sz="8" w:space="0" w:color="auto"/>
            <w:right w:val="single" w:sz="8" w:space="0" w:color="auto"/>
          </w:tcBorders>
          <w:vAlign w:val="bottom"/>
        </w:tcPr>
        <w:p w14:paraId="11059BF5" w14:textId="77777777" w:rsidR="002448A4" w:rsidRPr="0028248B" w:rsidRDefault="002448A4" w:rsidP="002448A4">
          <w:pPr>
            <w:spacing w:after="0" w:line="0" w:lineRule="atLeast"/>
            <w:rPr>
              <w:rFonts w:eastAsia="Times New Roman" w:cs="Arial"/>
              <w:sz w:val="6"/>
              <w:szCs w:val="20"/>
            </w:rPr>
          </w:pPr>
        </w:p>
      </w:tc>
      <w:tc>
        <w:tcPr>
          <w:tcW w:w="5101" w:type="dxa"/>
          <w:tcBorders>
            <w:bottom w:val="single" w:sz="8" w:space="0" w:color="auto"/>
            <w:right w:val="single" w:sz="8" w:space="0" w:color="auto"/>
          </w:tcBorders>
          <w:vAlign w:val="bottom"/>
        </w:tcPr>
        <w:p w14:paraId="1F3CAFBE" w14:textId="77777777" w:rsidR="002448A4" w:rsidRPr="0028248B" w:rsidRDefault="002448A4" w:rsidP="002448A4">
          <w:pPr>
            <w:spacing w:after="0" w:line="0" w:lineRule="atLeast"/>
            <w:rPr>
              <w:rFonts w:eastAsia="Times New Roman" w:cs="Arial"/>
              <w:sz w:val="6"/>
              <w:szCs w:val="20"/>
            </w:rPr>
          </w:pPr>
        </w:p>
      </w:tc>
    </w:tr>
    <w:tr w:rsidR="002448A4" w:rsidRPr="005B6405" w14:paraId="26BDBB18" w14:textId="77777777">
      <w:trPr>
        <w:trHeight w:val="214"/>
      </w:trPr>
      <w:tc>
        <w:tcPr>
          <w:tcW w:w="4822" w:type="dxa"/>
          <w:vMerge/>
          <w:tcBorders>
            <w:left w:val="single" w:sz="8" w:space="0" w:color="auto"/>
            <w:right w:val="single" w:sz="8" w:space="0" w:color="auto"/>
          </w:tcBorders>
          <w:vAlign w:val="bottom"/>
        </w:tcPr>
        <w:p w14:paraId="7B7537A9" w14:textId="77777777" w:rsidR="002448A4" w:rsidRPr="0028248B" w:rsidRDefault="002448A4" w:rsidP="002448A4">
          <w:pPr>
            <w:spacing w:after="0" w:line="0" w:lineRule="atLeast"/>
            <w:rPr>
              <w:rFonts w:eastAsia="Times New Roman" w:cs="Arial"/>
              <w:b/>
              <w:sz w:val="20"/>
              <w:szCs w:val="20"/>
            </w:rPr>
          </w:pPr>
        </w:p>
      </w:tc>
      <w:tc>
        <w:tcPr>
          <w:tcW w:w="5101" w:type="dxa"/>
          <w:tcBorders>
            <w:right w:val="single" w:sz="8" w:space="0" w:color="auto"/>
          </w:tcBorders>
          <w:vAlign w:val="bottom"/>
        </w:tcPr>
        <w:p w14:paraId="5AE538B7" w14:textId="77777777" w:rsidR="002448A4" w:rsidRPr="0028248B" w:rsidRDefault="002448A4" w:rsidP="002448A4">
          <w:pPr>
            <w:spacing w:after="0" w:line="214" w:lineRule="exact"/>
            <w:ind w:left="100"/>
            <w:rPr>
              <w:rFonts w:eastAsia="Times New Roman" w:cs="Arial"/>
              <w:b/>
              <w:sz w:val="20"/>
              <w:szCs w:val="20"/>
            </w:rPr>
          </w:pPr>
          <w:r w:rsidRPr="0028248B">
            <w:rPr>
              <w:rFonts w:eastAsia="Times New Roman" w:cs="Arial"/>
              <w:b/>
              <w:sz w:val="20"/>
              <w:szCs w:val="20"/>
            </w:rPr>
            <w:t>Title:</w:t>
          </w:r>
          <w:r w:rsidRPr="005B6405">
            <w:rPr>
              <w:rFonts w:eastAsia="Times New Roman" w:cs="Arial"/>
              <w:b/>
              <w:sz w:val="20"/>
              <w:szCs w:val="20"/>
            </w:rPr>
            <w:t xml:space="preserve"> </w:t>
          </w:r>
          <w:r w:rsidRPr="0028248B">
            <w:rPr>
              <w:rFonts w:eastAsia="Times New Roman" w:cs="Arial"/>
              <w:b/>
              <w:sz w:val="20"/>
              <w:szCs w:val="20"/>
            </w:rPr>
            <w:t>Guidelines for Operating a Standalone Pharmacy</w:t>
          </w:r>
        </w:p>
      </w:tc>
    </w:tr>
    <w:tr w:rsidR="002448A4" w:rsidRPr="005B6405" w14:paraId="039FB111" w14:textId="77777777">
      <w:trPr>
        <w:trHeight w:val="74"/>
      </w:trPr>
      <w:tc>
        <w:tcPr>
          <w:tcW w:w="4822" w:type="dxa"/>
          <w:vMerge/>
          <w:tcBorders>
            <w:left w:val="single" w:sz="8" w:space="0" w:color="auto"/>
            <w:bottom w:val="single" w:sz="8" w:space="0" w:color="auto"/>
            <w:right w:val="single" w:sz="8" w:space="0" w:color="auto"/>
          </w:tcBorders>
          <w:vAlign w:val="bottom"/>
        </w:tcPr>
        <w:p w14:paraId="57BF4FCC" w14:textId="77777777" w:rsidR="002448A4" w:rsidRPr="0028248B" w:rsidRDefault="002448A4" w:rsidP="002448A4">
          <w:pPr>
            <w:spacing w:after="0" w:line="0" w:lineRule="atLeast"/>
            <w:rPr>
              <w:rFonts w:eastAsia="Times New Roman" w:cs="Arial"/>
              <w:sz w:val="6"/>
              <w:szCs w:val="20"/>
            </w:rPr>
          </w:pPr>
        </w:p>
      </w:tc>
      <w:tc>
        <w:tcPr>
          <w:tcW w:w="5101" w:type="dxa"/>
          <w:tcBorders>
            <w:bottom w:val="single" w:sz="8" w:space="0" w:color="auto"/>
            <w:right w:val="single" w:sz="8" w:space="0" w:color="auto"/>
          </w:tcBorders>
          <w:vAlign w:val="bottom"/>
        </w:tcPr>
        <w:p w14:paraId="61653B45" w14:textId="77777777" w:rsidR="002448A4" w:rsidRPr="0028248B" w:rsidRDefault="002448A4" w:rsidP="002448A4">
          <w:pPr>
            <w:spacing w:after="0" w:line="0" w:lineRule="atLeast"/>
            <w:rPr>
              <w:rFonts w:eastAsia="Times New Roman" w:cs="Arial"/>
              <w:b/>
              <w:sz w:val="6"/>
              <w:szCs w:val="20"/>
            </w:rPr>
          </w:pPr>
        </w:p>
      </w:tc>
    </w:tr>
    <w:tr w:rsidR="002448A4" w:rsidRPr="00EC0477" w14:paraId="3CB45991" w14:textId="77777777">
      <w:trPr>
        <w:trHeight w:val="218"/>
      </w:trPr>
      <w:tc>
        <w:tcPr>
          <w:tcW w:w="4822" w:type="dxa"/>
          <w:tcBorders>
            <w:left w:val="single" w:sz="8" w:space="0" w:color="auto"/>
            <w:right w:val="single" w:sz="8" w:space="0" w:color="auto"/>
          </w:tcBorders>
          <w:vAlign w:val="bottom"/>
        </w:tcPr>
        <w:p w14:paraId="20589B57" w14:textId="77777777" w:rsidR="002448A4" w:rsidRPr="0028248B" w:rsidRDefault="002448A4" w:rsidP="002448A4">
          <w:pPr>
            <w:spacing w:after="0" w:line="218" w:lineRule="exact"/>
            <w:ind w:left="120"/>
            <w:rPr>
              <w:rFonts w:eastAsia="Times New Roman" w:cs="Arial"/>
              <w:sz w:val="20"/>
              <w:szCs w:val="20"/>
            </w:rPr>
          </w:pPr>
          <w:r w:rsidRPr="0028248B">
            <w:rPr>
              <w:rFonts w:eastAsia="Times New Roman" w:cs="Arial"/>
              <w:b/>
              <w:sz w:val="20"/>
              <w:szCs w:val="20"/>
            </w:rPr>
            <w:t xml:space="preserve">Function: </w:t>
          </w:r>
          <w:r w:rsidRPr="0028248B">
            <w:rPr>
              <w:rFonts w:eastAsia="Times New Roman" w:cs="Arial"/>
              <w:bCs/>
              <w:sz w:val="20"/>
              <w:szCs w:val="20"/>
            </w:rPr>
            <w:t>Inspections and Licensing</w:t>
          </w:r>
        </w:p>
      </w:tc>
      <w:tc>
        <w:tcPr>
          <w:tcW w:w="5101" w:type="dxa"/>
          <w:tcBorders>
            <w:right w:val="single" w:sz="8" w:space="0" w:color="auto"/>
          </w:tcBorders>
          <w:vAlign w:val="bottom"/>
        </w:tcPr>
        <w:p w14:paraId="024C1AFF" w14:textId="77777777" w:rsidR="002448A4" w:rsidRPr="00EC0477" w:rsidRDefault="002448A4" w:rsidP="002448A4">
          <w:pPr>
            <w:spacing w:after="0" w:line="218" w:lineRule="exact"/>
            <w:ind w:left="100"/>
            <w:rPr>
              <w:rFonts w:eastAsia="Times New Roman" w:cs="Arial"/>
              <w:bCs/>
              <w:color w:val="FF0000"/>
              <w:sz w:val="20"/>
              <w:szCs w:val="20"/>
              <w:lang w:val="it-IT"/>
            </w:rPr>
          </w:pPr>
          <w:r w:rsidRPr="00EC0477">
            <w:rPr>
              <w:rFonts w:eastAsia="Times New Roman" w:cs="Arial"/>
              <w:b/>
              <w:sz w:val="20"/>
              <w:szCs w:val="20"/>
              <w:lang w:val="it-IT"/>
            </w:rPr>
            <w:t xml:space="preserve">Document No: </w:t>
          </w:r>
          <w:r w:rsidRPr="00EC0477">
            <w:rPr>
              <w:rFonts w:eastAsia="Times New Roman" w:cs="Arial"/>
              <w:bCs/>
              <w:sz w:val="20"/>
              <w:szCs w:val="20"/>
              <w:lang w:val="it-IT"/>
            </w:rPr>
            <w:t>BOMRA/IL/IL/P01/G01</w:t>
          </w:r>
        </w:p>
      </w:tc>
    </w:tr>
    <w:tr w:rsidR="002448A4" w:rsidRPr="00EC0477" w14:paraId="48E081B8" w14:textId="77777777">
      <w:trPr>
        <w:trHeight w:val="78"/>
      </w:trPr>
      <w:tc>
        <w:tcPr>
          <w:tcW w:w="4822" w:type="dxa"/>
          <w:tcBorders>
            <w:left w:val="single" w:sz="8" w:space="0" w:color="auto"/>
            <w:bottom w:val="single" w:sz="8" w:space="0" w:color="auto"/>
            <w:right w:val="single" w:sz="8" w:space="0" w:color="auto"/>
          </w:tcBorders>
          <w:vAlign w:val="bottom"/>
        </w:tcPr>
        <w:p w14:paraId="6DDCDA9B" w14:textId="77777777" w:rsidR="002448A4" w:rsidRPr="00EC0477" w:rsidRDefault="002448A4" w:rsidP="002448A4">
          <w:pPr>
            <w:spacing w:after="0" w:line="0" w:lineRule="atLeast"/>
            <w:rPr>
              <w:rFonts w:eastAsia="Times New Roman" w:cs="Arial"/>
              <w:sz w:val="6"/>
              <w:szCs w:val="20"/>
              <w:lang w:val="it-IT"/>
            </w:rPr>
          </w:pPr>
        </w:p>
      </w:tc>
      <w:tc>
        <w:tcPr>
          <w:tcW w:w="5101" w:type="dxa"/>
          <w:tcBorders>
            <w:bottom w:val="single" w:sz="8" w:space="0" w:color="auto"/>
            <w:right w:val="single" w:sz="8" w:space="0" w:color="auto"/>
          </w:tcBorders>
          <w:vAlign w:val="bottom"/>
        </w:tcPr>
        <w:p w14:paraId="4CBB4F5D" w14:textId="77777777" w:rsidR="002448A4" w:rsidRPr="00EC0477" w:rsidRDefault="002448A4" w:rsidP="002448A4">
          <w:pPr>
            <w:spacing w:after="0" w:line="0" w:lineRule="atLeast"/>
            <w:rPr>
              <w:rFonts w:eastAsia="Times New Roman" w:cs="Arial"/>
              <w:sz w:val="6"/>
              <w:szCs w:val="20"/>
              <w:lang w:val="it-IT"/>
            </w:rPr>
          </w:pPr>
        </w:p>
      </w:tc>
    </w:tr>
    <w:tr w:rsidR="002448A4" w:rsidRPr="005B6405" w14:paraId="3C11F884" w14:textId="77777777">
      <w:trPr>
        <w:trHeight w:val="214"/>
      </w:trPr>
      <w:tc>
        <w:tcPr>
          <w:tcW w:w="4822" w:type="dxa"/>
          <w:tcBorders>
            <w:left w:val="single" w:sz="8" w:space="0" w:color="auto"/>
            <w:right w:val="single" w:sz="8" w:space="0" w:color="auto"/>
          </w:tcBorders>
          <w:vAlign w:val="bottom"/>
        </w:tcPr>
        <w:p w14:paraId="67DD4F00" w14:textId="77777777" w:rsidR="002448A4" w:rsidRPr="00EC0477" w:rsidRDefault="002448A4" w:rsidP="002448A4">
          <w:pPr>
            <w:spacing w:after="0" w:line="0" w:lineRule="atLeast"/>
            <w:rPr>
              <w:rFonts w:eastAsia="Times New Roman" w:cs="Arial"/>
              <w:sz w:val="18"/>
              <w:szCs w:val="20"/>
              <w:lang w:val="it-IT"/>
            </w:rPr>
          </w:pPr>
        </w:p>
      </w:tc>
      <w:tc>
        <w:tcPr>
          <w:tcW w:w="5101" w:type="dxa"/>
          <w:tcBorders>
            <w:top w:val="single" w:sz="8" w:space="0" w:color="auto"/>
            <w:bottom w:val="single" w:sz="8" w:space="0" w:color="auto"/>
            <w:right w:val="single" w:sz="8" w:space="0" w:color="auto"/>
          </w:tcBorders>
          <w:vAlign w:val="bottom"/>
        </w:tcPr>
        <w:p w14:paraId="302CA711" w14:textId="2922C3B2" w:rsidR="002448A4" w:rsidRPr="0028248B" w:rsidRDefault="002448A4" w:rsidP="002448A4">
          <w:pPr>
            <w:spacing w:after="0" w:line="214" w:lineRule="exact"/>
            <w:ind w:left="100"/>
            <w:rPr>
              <w:rFonts w:eastAsia="Times New Roman" w:cs="Arial"/>
              <w:b/>
              <w:color w:val="000000" w:themeColor="text1"/>
              <w:sz w:val="20"/>
              <w:szCs w:val="20"/>
            </w:rPr>
          </w:pPr>
          <w:r w:rsidRPr="0028248B">
            <w:rPr>
              <w:rFonts w:eastAsia="Times New Roman" w:cs="Arial"/>
              <w:b/>
              <w:color w:val="000000" w:themeColor="text1"/>
              <w:sz w:val="20"/>
              <w:szCs w:val="20"/>
            </w:rPr>
            <w:t xml:space="preserve">Document Status: </w:t>
          </w:r>
          <w:r w:rsidR="00CA5F2C" w:rsidRPr="0028248B">
            <w:rPr>
              <w:rFonts w:eastAsia="Times New Roman" w:cs="Arial"/>
              <w:bCs/>
              <w:color w:val="000000" w:themeColor="text1"/>
              <w:sz w:val="20"/>
              <w:szCs w:val="20"/>
            </w:rPr>
            <w:t>Approved</w:t>
          </w:r>
        </w:p>
      </w:tc>
    </w:tr>
    <w:tr w:rsidR="002448A4" w:rsidRPr="005B6405" w14:paraId="1FA43E60" w14:textId="77777777">
      <w:trPr>
        <w:trHeight w:val="214"/>
      </w:trPr>
      <w:tc>
        <w:tcPr>
          <w:tcW w:w="4822" w:type="dxa"/>
          <w:tcBorders>
            <w:left w:val="single" w:sz="8" w:space="0" w:color="auto"/>
            <w:right w:val="single" w:sz="8" w:space="0" w:color="auto"/>
          </w:tcBorders>
          <w:vAlign w:val="bottom"/>
        </w:tcPr>
        <w:p w14:paraId="1877A26B" w14:textId="77777777" w:rsidR="002448A4" w:rsidRPr="0028248B" w:rsidRDefault="002448A4" w:rsidP="002448A4">
          <w:pPr>
            <w:spacing w:after="0" w:line="0" w:lineRule="atLeast"/>
            <w:rPr>
              <w:rFonts w:eastAsia="Times New Roman" w:cs="Arial"/>
              <w:sz w:val="18"/>
              <w:szCs w:val="20"/>
            </w:rPr>
          </w:pPr>
        </w:p>
      </w:tc>
      <w:tc>
        <w:tcPr>
          <w:tcW w:w="5101" w:type="dxa"/>
          <w:tcBorders>
            <w:top w:val="single" w:sz="8" w:space="0" w:color="auto"/>
            <w:right w:val="single" w:sz="8" w:space="0" w:color="auto"/>
          </w:tcBorders>
          <w:vAlign w:val="bottom"/>
        </w:tcPr>
        <w:p w14:paraId="409E9AC5" w14:textId="77777777" w:rsidR="002448A4" w:rsidRPr="0028248B" w:rsidRDefault="002448A4" w:rsidP="002448A4">
          <w:pPr>
            <w:spacing w:after="0" w:line="214" w:lineRule="exact"/>
            <w:ind w:left="100"/>
            <w:rPr>
              <w:rFonts w:eastAsia="Times New Roman" w:cs="Arial"/>
              <w:color w:val="000000" w:themeColor="text1"/>
              <w:sz w:val="20"/>
              <w:szCs w:val="20"/>
            </w:rPr>
          </w:pPr>
          <w:r w:rsidRPr="0028248B">
            <w:rPr>
              <w:rFonts w:eastAsia="Times New Roman" w:cs="Arial"/>
              <w:b/>
              <w:color w:val="000000" w:themeColor="text1"/>
              <w:sz w:val="20"/>
              <w:szCs w:val="20"/>
            </w:rPr>
            <w:t xml:space="preserve">Issue No: </w:t>
          </w:r>
          <w:r w:rsidRPr="0028248B">
            <w:rPr>
              <w:rFonts w:eastAsia="Times New Roman" w:cs="Arial"/>
              <w:color w:val="000000" w:themeColor="text1"/>
              <w:sz w:val="20"/>
              <w:szCs w:val="20"/>
            </w:rPr>
            <w:t>3.0</w:t>
          </w:r>
        </w:p>
      </w:tc>
    </w:tr>
    <w:tr w:rsidR="002448A4" w:rsidRPr="005B6405" w14:paraId="06FC7F35" w14:textId="77777777">
      <w:trPr>
        <w:trHeight w:val="78"/>
      </w:trPr>
      <w:tc>
        <w:tcPr>
          <w:tcW w:w="4822" w:type="dxa"/>
          <w:vMerge w:val="restart"/>
          <w:tcBorders>
            <w:left w:val="single" w:sz="8" w:space="0" w:color="auto"/>
            <w:right w:val="single" w:sz="8" w:space="0" w:color="auto"/>
          </w:tcBorders>
          <w:vAlign w:val="bottom"/>
        </w:tcPr>
        <w:p w14:paraId="7AF9B54C" w14:textId="77777777" w:rsidR="002448A4" w:rsidRPr="0028248B" w:rsidRDefault="002448A4" w:rsidP="002448A4">
          <w:pPr>
            <w:spacing w:after="0" w:line="228" w:lineRule="exact"/>
            <w:ind w:left="120"/>
            <w:rPr>
              <w:rFonts w:eastAsia="Times New Roman" w:cs="Arial"/>
              <w:sz w:val="20"/>
              <w:szCs w:val="20"/>
            </w:rPr>
          </w:pPr>
          <w:r w:rsidRPr="0028248B">
            <w:rPr>
              <w:rFonts w:eastAsia="Times New Roman" w:cs="Arial"/>
              <w:b/>
              <w:sz w:val="20"/>
              <w:szCs w:val="20"/>
            </w:rPr>
            <w:t xml:space="preserve">Department: </w:t>
          </w:r>
          <w:r w:rsidRPr="0028248B">
            <w:rPr>
              <w:rFonts w:eastAsia="Times New Roman" w:cs="Arial"/>
              <w:color w:val="000000" w:themeColor="text1"/>
              <w:sz w:val="20"/>
              <w:szCs w:val="20"/>
            </w:rPr>
            <w:t>Licensing and Enforcement</w:t>
          </w:r>
        </w:p>
      </w:tc>
      <w:tc>
        <w:tcPr>
          <w:tcW w:w="5101" w:type="dxa"/>
          <w:tcBorders>
            <w:bottom w:val="single" w:sz="8" w:space="0" w:color="auto"/>
            <w:right w:val="single" w:sz="8" w:space="0" w:color="auto"/>
          </w:tcBorders>
          <w:vAlign w:val="bottom"/>
        </w:tcPr>
        <w:p w14:paraId="58AD2F4D" w14:textId="77777777" w:rsidR="002448A4" w:rsidRPr="0028248B" w:rsidRDefault="002448A4" w:rsidP="002448A4">
          <w:pPr>
            <w:spacing w:after="0" w:line="0" w:lineRule="atLeast"/>
            <w:rPr>
              <w:rFonts w:eastAsia="Times New Roman" w:cs="Arial"/>
              <w:color w:val="000000" w:themeColor="text1"/>
              <w:sz w:val="6"/>
              <w:szCs w:val="20"/>
            </w:rPr>
          </w:pPr>
        </w:p>
      </w:tc>
    </w:tr>
    <w:tr w:rsidR="002448A4" w:rsidRPr="005B6405" w14:paraId="54C1245F" w14:textId="77777777">
      <w:trPr>
        <w:trHeight w:val="130"/>
      </w:trPr>
      <w:tc>
        <w:tcPr>
          <w:tcW w:w="4822" w:type="dxa"/>
          <w:vMerge/>
          <w:tcBorders>
            <w:left w:val="single" w:sz="8" w:space="0" w:color="auto"/>
            <w:bottom w:val="single" w:sz="4" w:space="0" w:color="auto"/>
            <w:right w:val="single" w:sz="8" w:space="0" w:color="auto"/>
          </w:tcBorders>
          <w:vAlign w:val="bottom"/>
        </w:tcPr>
        <w:p w14:paraId="1FA8CCC1" w14:textId="77777777" w:rsidR="002448A4" w:rsidRPr="0028248B" w:rsidRDefault="002448A4" w:rsidP="002448A4">
          <w:pPr>
            <w:spacing w:after="0" w:line="0" w:lineRule="atLeast"/>
            <w:rPr>
              <w:rFonts w:eastAsia="Times New Roman" w:cs="Arial"/>
              <w:sz w:val="11"/>
              <w:szCs w:val="20"/>
            </w:rPr>
          </w:pPr>
        </w:p>
      </w:tc>
      <w:tc>
        <w:tcPr>
          <w:tcW w:w="5101" w:type="dxa"/>
          <w:tcBorders>
            <w:bottom w:val="single" w:sz="4" w:space="0" w:color="auto"/>
            <w:right w:val="single" w:sz="8" w:space="0" w:color="auto"/>
          </w:tcBorders>
          <w:vAlign w:val="bottom"/>
        </w:tcPr>
        <w:p w14:paraId="29C3B9F1" w14:textId="25B48F06" w:rsidR="002448A4" w:rsidRPr="005B6405" w:rsidRDefault="002448A4" w:rsidP="002448A4">
          <w:pPr>
            <w:spacing w:after="0" w:line="214" w:lineRule="exact"/>
            <w:ind w:left="100"/>
            <w:rPr>
              <w:rFonts w:eastAsia="Times New Roman" w:cs="Arial"/>
              <w:color w:val="000000" w:themeColor="text1"/>
              <w:sz w:val="20"/>
              <w:szCs w:val="20"/>
            </w:rPr>
          </w:pPr>
          <w:r w:rsidRPr="0028248B">
            <w:rPr>
              <w:rFonts w:eastAsia="Times New Roman" w:cs="Arial"/>
              <w:b/>
              <w:color w:val="000000" w:themeColor="text1"/>
              <w:sz w:val="20"/>
              <w:szCs w:val="20"/>
            </w:rPr>
            <w:t xml:space="preserve">Effective date: </w:t>
          </w:r>
          <w:r w:rsidR="00FC2FF3">
            <w:rPr>
              <w:rFonts w:eastAsia="Times New Roman" w:cs="Arial"/>
              <w:bCs/>
              <w:color w:val="000000" w:themeColor="text1"/>
              <w:sz w:val="20"/>
              <w:szCs w:val="20"/>
            </w:rPr>
            <w:t>15</w:t>
          </w:r>
          <w:r w:rsidRPr="0028248B">
            <w:rPr>
              <w:rFonts w:eastAsia="Times New Roman" w:cs="Arial"/>
              <w:bCs/>
              <w:color w:val="000000" w:themeColor="text1"/>
              <w:sz w:val="20"/>
              <w:szCs w:val="20"/>
            </w:rPr>
            <w:t>-04-2026</w:t>
          </w:r>
        </w:p>
      </w:tc>
    </w:tr>
  </w:tbl>
  <w:p w14:paraId="09C5AE8F" w14:textId="676A4F32" w:rsidR="000A5E1C" w:rsidRPr="005B6405" w:rsidRDefault="000A5E1C" w:rsidP="001A4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7F15" w14:textId="123F0664" w:rsidR="000A5E1C" w:rsidRPr="005B6405" w:rsidRDefault="00000000">
    <w:pPr>
      <w:pStyle w:val="Header"/>
    </w:pPr>
    <w:r>
      <w:pict w14:anchorId="2F275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459.75pt;height:99.75pt;rotation:315;z-index:-251658238;mso-position-horizontal:center;mso-position-horizontal-relative:margin;mso-position-vertical:center;mso-position-vertical-relative:margin" o:allowincell="f" fillcolor="#c00000" stroked="f">
          <v:fill opacity=".5"/>
          <v:textpath style="font-family:&quot;Gill Sans MT Condensed&quot;;font-size:80pt" string="Draft for comment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F96F" w14:textId="605C6B3C" w:rsidR="000A5E1C" w:rsidRPr="005B6405" w:rsidRDefault="00000000">
    <w:pPr>
      <w:pStyle w:val="Header"/>
    </w:pPr>
    <w:r>
      <w:pict w14:anchorId="3181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459.75pt;height:99.75pt;rotation:315;z-index:-251658239;mso-position-horizontal:center;mso-position-horizontal-relative:margin;mso-position-vertical:center;mso-position-vertical-relative:margin" o:allowincell="f" fillcolor="#c00000" stroked="f">
          <v:fill opacity=".5"/>
          <v:textpath style="font-family:&quot;Gill Sans MT Condensed&quot;;font-size:80pt" string="Draft for com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86F"/>
    <w:multiLevelType w:val="multilevel"/>
    <w:tmpl w:val="076E5586"/>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b/>
        <w:bCs/>
        <w:sz w:val="24"/>
        <w:szCs w:val="24"/>
      </w:rPr>
    </w:lvl>
    <w:lvl w:ilvl="2">
      <w:start w:val="1"/>
      <w:numFmt w:val="decimal"/>
      <w:lvlText w:val="%1.%2.%3"/>
      <w:lvlJc w:val="left"/>
      <w:pPr>
        <w:ind w:left="1146"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B0E70"/>
    <w:multiLevelType w:val="hybridMultilevel"/>
    <w:tmpl w:val="05340910"/>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83D3547"/>
    <w:multiLevelType w:val="hybridMultilevel"/>
    <w:tmpl w:val="868E5E9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68176E"/>
    <w:multiLevelType w:val="hybridMultilevel"/>
    <w:tmpl w:val="215E8B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76A6E"/>
    <w:multiLevelType w:val="hybridMultilevel"/>
    <w:tmpl w:val="5DC02A0A"/>
    <w:lvl w:ilvl="0" w:tplc="35EAA4B4">
      <w:start w:val="1"/>
      <w:numFmt w:val="decimal"/>
      <w:lvlText w:val="7.%1"/>
      <w:lvlJc w:val="left"/>
      <w:pPr>
        <w:ind w:left="720" w:hanging="72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F7A78"/>
    <w:multiLevelType w:val="hybridMultilevel"/>
    <w:tmpl w:val="27A41DA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9E5BF9"/>
    <w:multiLevelType w:val="hybridMultilevel"/>
    <w:tmpl w:val="5A3AB4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5640B2"/>
    <w:multiLevelType w:val="hybridMultilevel"/>
    <w:tmpl w:val="47ACF8A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CA1DF9"/>
    <w:multiLevelType w:val="multilevel"/>
    <w:tmpl w:val="188E61C0"/>
    <w:lvl w:ilvl="0">
      <w:start w:val="5"/>
      <w:numFmt w:val="decimal"/>
      <w:lvlText w:val="%1"/>
      <w:lvlJc w:val="left"/>
      <w:pPr>
        <w:ind w:left="360" w:hanging="360"/>
      </w:pPr>
      <w:rPr>
        <w:rFonts w:ascii="Gill Sans MT" w:eastAsiaTheme="majorEastAsia" w:hAnsi="Gill Sans MT" w:hint="default"/>
        <w:b/>
        <w:color w:val="auto"/>
        <w:sz w:val="24"/>
      </w:rPr>
    </w:lvl>
    <w:lvl w:ilvl="1">
      <w:start w:val="1"/>
      <w:numFmt w:val="decimal"/>
      <w:lvlText w:val="%1.%2"/>
      <w:lvlJc w:val="left"/>
      <w:pPr>
        <w:ind w:left="360" w:hanging="360"/>
      </w:pPr>
      <w:rPr>
        <w:rFonts w:ascii="Gill Sans MT" w:eastAsiaTheme="majorEastAsia" w:hAnsi="Gill Sans MT" w:hint="default"/>
        <w:b/>
        <w:color w:val="auto"/>
        <w:sz w:val="24"/>
      </w:rPr>
    </w:lvl>
    <w:lvl w:ilvl="2">
      <w:start w:val="1"/>
      <w:numFmt w:val="decimal"/>
      <w:lvlText w:val="%1.%2.%3"/>
      <w:lvlJc w:val="left"/>
      <w:pPr>
        <w:ind w:left="720" w:hanging="720"/>
      </w:pPr>
      <w:rPr>
        <w:rFonts w:ascii="Gill Sans MT" w:eastAsiaTheme="majorEastAsia" w:hAnsi="Gill Sans MT" w:hint="default"/>
        <w:b/>
        <w:color w:val="auto"/>
        <w:sz w:val="24"/>
      </w:rPr>
    </w:lvl>
    <w:lvl w:ilvl="3">
      <w:start w:val="1"/>
      <w:numFmt w:val="decimal"/>
      <w:lvlText w:val="%1.%2.%3.%4"/>
      <w:lvlJc w:val="left"/>
      <w:pPr>
        <w:ind w:left="720" w:hanging="720"/>
      </w:pPr>
      <w:rPr>
        <w:rFonts w:ascii="Gill Sans MT" w:eastAsiaTheme="majorEastAsia" w:hAnsi="Gill Sans MT" w:hint="default"/>
        <w:b/>
        <w:color w:val="auto"/>
        <w:sz w:val="24"/>
      </w:rPr>
    </w:lvl>
    <w:lvl w:ilvl="4">
      <w:start w:val="1"/>
      <w:numFmt w:val="decimal"/>
      <w:lvlText w:val="%1.%2.%3.%4.%5"/>
      <w:lvlJc w:val="left"/>
      <w:pPr>
        <w:ind w:left="1080" w:hanging="1080"/>
      </w:pPr>
      <w:rPr>
        <w:rFonts w:ascii="Gill Sans MT" w:eastAsiaTheme="majorEastAsia" w:hAnsi="Gill Sans MT" w:hint="default"/>
        <w:b/>
        <w:color w:val="auto"/>
        <w:sz w:val="24"/>
      </w:rPr>
    </w:lvl>
    <w:lvl w:ilvl="5">
      <w:start w:val="1"/>
      <w:numFmt w:val="decimal"/>
      <w:lvlText w:val="%1.%2.%3.%4.%5.%6"/>
      <w:lvlJc w:val="left"/>
      <w:pPr>
        <w:ind w:left="1080" w:hanging="1080"/>
      </w:pPr>
      <w:rPr>
        <w:rFonts w:ascii="Gill Sans MT" w:eastAsiaTheme="majorEastAsia" w:hAnsi="Gill Sans MT" w:hint="default"/>
        <w:b/>
        <w:color w:val="auto"/>
        <w:sz w:val="24"/>
      </w:rPr>
    </w:lvl>
    <w:lvl w:ilvl="6">
      <w:start w:val="1"/>
      <w:numFmt w:val="decimal"/>
      <w:lvlText w:val="%1.%2.%3.%4.%5.%6.%7"/>
      <w:lvlJc w:val="left"/>
      <w:pPr>
        <w:ind w:left="1440" w:hanging="1440"/>
      </w:pPr>
      <w:rPr>
        <w:rFonts w:ascii="Gill Sans MT" w:eastAsiaTheme="majorEastAsia" w:hAnsi="Gill Sans MT" w:hint="default"/>
        <w:b/>
        <w:color w:val="auto"/>
        <w:sz w:val="24"/>
      </w:rPr>
    </w:lvl>
    <w:lvl w:ilvl="7">
      <w:start w:val="1"/>
      <w:numFmt w:val="decimal"/>
      <w:lvlText w:val="%1.%2.%3.%4.%5.%6.%7.%8"/>
      <w:lvlJc w:val="left"/>
      <w:pPr>
        <w:ind w:left="1800" w:hanging="1800"/>
      </w:pPr>
      <w:rPr>
        <w:rFonts w:ascii="Gill Sans MT" w:eastAsiaTheme="majorEastAsia" w:hAnsi="Gill Sans MT" w:hint="default"/>
        <w:b/>
        <w:color w:val="auto"/>
        <w:sz w:val="24"/>
      </w:rPr>
    </w:lvl>
    <w:lvl w:ilvl="8">
      <w:start w:val="1"/>
      <w:numFmt w:val="decimal"/>
      <w:lvlText w:val="%1.%2.%3.%4.%5.%6.%7.%8.%9"/>
      <w:lvlJc w:val="left"/>
      <w:pPr>
        <w:ind w:left="1800" w:hanging="1800"/>
      </w:pPr>
      <w:rPr>
        <w:rFonts w:ascii="Gill Sans MT" w:eastAsiaTheme="majorEastAsia" w:hAnsi="Gill Sans MT" w:hint="default"/>
        <w:b/>
        <w:color w:val="auto"/>
        <w:sz w:val="24"/>
      </w:rPr>
    </w:lvl>
  </w:abstractNum>
  <w:abstractNum w:abstractNumId="9" w15:restartNumberingAfterBreak="0">
    <w:nsid w:val="1EC0531B"/>
    <w:multiLevelType w:val="hybridMultilevel"/>
    <w:tmpl w:val="100E5DD4"/>
    <w:lvl w:ilvl="0" w:tplc="F9D4BCC2">
      <w:start w:val="1"/>
      <w:numFmt w:val="decimal"/>
      <w:lvlText w:val="5.3.%1"/>
      <w:lvlJc w:val="left"/>
      <w:pPr>
        <w:ind w:left="1003" w:hanging="720"/>
      </w:pPr>
      <w:rPr>
        <w:rFonts w:hint="default"/>
        <w:b w:val="0"/>
        <w:bCs w:val="0"/>
      </w:rPr>
    </w:lvl>
    <w:lvl w:ilvl="1" w:tplc="F2C29DB0">
      <w:start w:val="1"/>
      <w:numFmt w:val="lowerLetter"/>
      <w:lvlText w:val="(%2)"/>
      <w:lvlJc w:val="left"/>
      <w:pPr>
        <w:ind w:left="1027" w:hanging="384"/>
      </w:pPr>
      <w:rPr>
        <w:rFonts w:hint="default"/>
        <w:b/>
      </w:r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10" w15:restartNumberingAfterBreak="0">
    <w:nsid w:val="23DD12A9"/>
    <w:multiLevelType w:val="hybridMultilevel"/>
    <w:tmpl w:val="2AC4101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A0693F"/>
    <w:multiLevelType w:val="hybridMultilevel"/>
    <w:tmpl w:val="C1EADACE"/>
    <w:lvl w:ilvl="0" w:tplc="04090019">
      <w:start w:val="1"/>
      <w:numFmt w:val="lowerLetter"/>
      <w:lvlText w:val="%1."/>
      <w:lvlJc w:val="left"/>
      <w:pPr>
        <w:ind w:left="1080" w:hanging="360"/>
      </w:pPr>
    </w:lvl>
    <w:lvl w:ilvl="1" w:tplc="897CCEF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1150F3"/>
    <w:multiLevelType w:val="hybridMultilevel"/>
    <w:tmpl w:val="6ADCE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71AA5"/>
    <w:multiLevelType w:val="multilevel"/>
    <w:tmpl w:val="1556E8E0"/>
    <w:lvl w:ilvl="0">
      <w:start w:val="1"/>
      <w:numFmt w:val="decimal"/>
      <w:lvlText w:val="%1."/>
      <w:lvlJc w:val="left"/>
      <w:pPr>
        <w:ind w:left="2287" w:hanging="480"/>
      </w:pPr>
      <w:rPr>
        <w:rFonts w:hint="default"/>
      </w:rPr>
    </w:lvl>
    <w:lvl w:ilvl="1">
      <w:start w:val="1"/>
      <w:numFmt w:val="decimal"/>
      <w:isLgl/>
      <w:lvlText w:val="%1.%2"/>
      <w:lvlJc w:val="left"/>
      <w:pPr>
        <w:ind w:left="2332" w:hanging="525"/>
      </w:pPr>
      <w:rPr>
        <w:rFonts w:hint="default"/>
      </w:rPr>
    </w:lvl>
    <w:lvl w:ilvl="2">
      <w:start w:val="1"/>
      <w:numFmt w:val="decimal"/>
      <w:isLgl/>
      <w:lvlText w:val="%1.%2.%3"/>
      <w:lvlJc w:val="left"/>
      <w:pPr>
        <w:ind w:left="2527" w:hanging="720"/>
      </w:pPr>
      <w:rPr>
        <w:rFonts w:hint="default"/>
        <w:b w:val="0"/>
      </w:rPr>
    </w:lvl>
    <w:lvl w:ilvl="3">
      <w:start w:val="1"/>
      <w:numFmt w:val="decimal"/>
      <w:isLgl/>
      <w:lvlText w:val="%1.%2.%3.%4"/>
      <w:lvlJc w:val="left"/>
      <w:pPr>
        <w:ind w:left="2887" w:hanging="1080"/>
      </w:pPr>
      <w:rPr>
        <w:rFonts w:hint="default"/>
      </w:rPr>
    </w:lvl>
    <w:lvl w:ilvl="4">
      <w:start w:val="1"/>
      <w:numFmt w:val="decimal"/>
      <w:isLgl/>
      <w:lvlText w:val="%1.%2.%3.%4.%5"/>
      <w:lvlJc w:val="left"/>
      <w:pPr>
        <w:ind w:left="2887" w:hanging="1080"/>
      </w:pPr>
      <w:rPr>
        <w:rFonts w:hint="default"/>
      </w:rPr>
    </w:lvl>
    <w:lvl w:ilvl="5">
      <w:start w:val="1"/>
      <w:numFmt w:val="decimal"/>
      <w:isLgl/>
      <w:lvlText w:val="%1.%2.%3.%4.%5.%6"/>
      <w:lvlJc w:val="left"/>
      <w:pPr>
        <w:ind w:left="3247" w:hanging="144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607" w:hanging="1800"/>
      </w:pPr>
      <w:rPr>
        <w:rFonts w:hint="default"/>
      </w:rPr>
    </w:lvl>
    <w:lvl w:ilvl="8">
      <w:start w:val="1"/>
      <w:numFmt w:val="decimal"/>
      <w:isLgl/>
      <w:lvlText w:val="%1.%2.%3.%4.%5.%6.%7.%8.%9"/>
      <w:lvlJc w:val="left"/>
      <w:pPr>
        <w:ind w:left="3607" w:hanging="1800"/>
      </w:pPr>
      <w:rPr>
        <w:rFonts w:hint="default"/>
      </w:rPr>
    </w:lvl>
  </w:abstractNum>
  <w:abstractNum w:abstractNumId="14" w15:restartNumberingAfterBreak="0">
    <w:nsid w:val="418259DA"/>
    <w:multiLevelType w:val="hybridMultilevel"/>
    <w:tmpl w:val="7068C7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036810"/>
    <w:multiLevelType w:val="multilevel"/>
    <w:tmpl w:val="ADD8C1FA"/>
    <w:lvl w:ilvl="0">
      <w:start w:val="1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AC4018"/>
    <w:multiLevelType w:val="hybridMultilevel"/>
    <w:tmpl w:val="025CEA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8A4D23"/>
    <w:multiLevelType w:val="hybridMultilevel"/>
    <w:tmpl w:val="2A08D8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520394"/>
    <w:multiLevelType w:val="hybridMultilevel"/>
    <w:tmpl w:val="FF7825C0"/>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1C8229D"/>
    <w:multiLevelType w:val="multilevel"/>
    <w:tmpl w:val="134EF0B4"/>
    <w:lvl w:ilvl="0">
      <w:start w:val="5"/>
      <w:numFmt w:val="decimal"/>
      <w:lvlText w:val="%1"/>
      <w:lvlJc w:val="left"/>
      <w:pPr>
        <w:ind w:left="480" w:hanging="480"/>
      </w:pPr>
      <w:rPr>
        <w:rFonts w:hint="default"/>
      </w:rPr>
    </w:lvl>
    <w:lvl w:ilvl="1">
      <w:start w:val="1"/>
      <w:numFmt w:val="lowerLetter"/>
      <w:lvlText w:val="%2."/>
      <w:lvlJc w:val="left"/>
      <w:pPr>
        <w:ind w:left="643" w:hanging="360"/>
      </w:pPr>
    </w:lvl>
    <w:lvl w:ilvl="2">
      <w:start w:val="1"/>
      <w:numFmt w:val="decimal"/>
      <w:lvlText w:val="%1.%2.%3"/>
      <w:lvlJc w:val="left"/>
      <w:pPr>
        <w:ind w:left="1146"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2816EB9"/>
    <w:multiLevelType w:val="hybridMultilevel"/>
    <w:tmpl w:val="AD88AADA"/>
    <w:lvl w:ilvl="0" w:tplc="BE8EE28C">
      <w:start w:val="1"/>
      <w:numFmt w:val="decimal"/>
      <w:lvlText w:val="2.%1"/>
      <w:lvlJc w:val="left"/>
      <w:pPr>
        <w:ind w:left="72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56163EEF"/>
    <w:multiLevelType w:val="multilevel"/>
    <w:tmpl w:val="3F865D30"/>
    <w:lvl w:ilvl="0">
      <w:start w:val="5"/>
      <w:numFmt w:val="decimal"/>
      <w:lvlText w:val="%1"/>
      <w:lvlJc w:val="left"/>
      <w:pPr>
        <w:ind w:left="480" w:hanging="480"/>
      </w:pPr>
      <w:rPr>
        <w:rFonts w:hint="default"/>
      </w:rPr>
    </w:lvl>
    <w:lvl w:ilvl="1">
      <w:start w:val="1"/>
      <w:numFmt w:val="decimal"/>
      <w:lvlText w:val="%1.%2"/>
      <w:lvlJc w:val="left"/>
      <w:pPr>
        <w:ind w:left="959" w:hanging="480"/>
      </w:pPr>
      <w:rPr>
        <w:rFonts w:hint="default"/>
      </w:rPr>
    </w:lvl>
    <w:lvl w:ilvl="2">
      <w:start w:val="1"/>
      <w:numFmt w:val="decimal"/>
      <w:lvlText w:val="%1.%2.%3"/>
      <w:lvlJc w:val="left"/>
      <w:pPr>
        <w:ind w:left="1678" w:hanging="720"/>
      </w:pPr>
      <w:rPr>
        <w:rFonts w:hint="default"/>
        <w:sz w:val="22"/>
        <w:szCs w:val="22"/>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632" w:hanging="1800"/>
      </w:pPr>
      <w:rPr>
        <w:rFonts w:hint="default"/>
      </w:rPr>
    </w:lvl>
  </w:abstractNum>
  <w:abstractNum w:abstractNumId="22" w15:restartNumberingAfterBreak="0">
    <w:nsid w:val="579411B9"/>
    <w:multiLevelType w:val="hybridMultilevel"/>
    <w:tmpl w:val="FE721ED0"/>
    <w:lvl w:ilvl="0" w:tplc="953A587C">
      <w:start w:val="1"/>
      <w:numFmt w:val="lowerLetter"/>
      <w:lvlText w:val="%1)"/>
      <w:lvlJc w:val="left"/>
      <w:pPr>
        <w:ind w:left="1778" w:hanging="36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23" w15:restartNumberingAfterBreak="0">
    <w:nsid w:val="5E8A0C9C"/>
    <w:multiLevelType w:val="hybridMultilevel"/>
    <w:tmpl w:val="33B0756C"/>
    <w:lvl w:ilvl="0" w:tplc="7A8E0414">
      <w:start w:val="1"/>
      <w:numFmt w:val="decimal"/>
      <w:lvlText w:val="4.%1"/>
      <w:lvlJc w:val="left"/>
      <w:pPr>
        <w:ind w:left="79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700AEA"/>
    <w:multiLevelType w:val="hybridMultilevel"/>
    <w:tmpl w:val="3A8C996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04A4594"/>
    <w:multiLevelType w:val="hybridMultilevel"/>
    <w:tmpl w:val="1B865498"/>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4196D9D"/>
    <w:multiLevelType w:val="hybridMultilevel"/>
    <w:tmpl w:val="13FAA974"/>
    <w:lvl w:ilvl="0" w:tplc="20B8782A">
      <w:start w:val="1"/>
      <w:numFmt w:val="decimal"/>
      <w:lvlText w:val="6.%1"/>
      <w:lvlJc w:val="left"/>
      <w:pPr>
        <w:ind w:left="504" w:hanging="504"/>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582EC8"/>
    <w:multiLevelType w:val="hybridMultilevel"/>
    <w:tmpl w:val="FFFFFFFF"/>
    <w:lvl w:ilvl="0" w:tplc="DD1027B2">
      <w:start w:val="1"/>
      <w:numFmt w:val="lowerLetter"/>
      <w:lvlText w:val="%1."/>
      <w:lvlJc w:val="left"/>
      <w:pPr>
        <w:ind w:left="1798" w:hanging="360"/>
      </w:pPr>
    </w:lvl>
    <w:lvl w:ilvl="1" w:tplc="4EF436BA">
      <w:start w:val="1"/>
      <w:numFmt w:val="lowerLetter"/>
      <w:lvlText w:val="%2."/>
      <w:lvlJc w:val="left"/>
      <w:pPr>
        <w:ind w:left="2518" w:hanging="360"/>
      </w:pPr>
    </w:lvl>
    <w:lvl w:ilvl="2" w:tplc="F2D46434">
      <w:start w:val="1"/>
      <w:numFmt w:val="lowerRoman"/>
      <w:lvlText w:val="%3."/>
      <w:lvlJc w:val="right"/>
      <w:pPr>
        <w:ind w:left="3238" w:hanging="180"/>
      </w:pPr>
    </w:lvl>
    <w:lvl w:ilvl="3" w:tplc="A6242DF4">
      <w:start w:val="1"/>
      <w:numFmt w:val="decimal"/>
      <w:lvlText w:val="%4."/>
      <w:lvlJc w:val="left"/>
      <w:pPr>
        <w:ind w:left="3958" w:hanging="360"/>
      </w:pPr>
    </w:lvl>
    <w:lvl w:ilvl="4" w:tplc="782497DC">
      <w:start w:val="1"/>
      <w:numFmt w:val="lowerLetter"/>
      <w:lvlText w:val="%5."/>
      <w:lvlJc w:val="left"/>
      <w:pPr>
        <w:ind w:left="4678" w:hanging="360"/>
      </w:pPr>
    </w:lvl>
    <w:lvl w:ilvl="5" w:tplc="791A3BE2">
      <w:start w:val="1"/>
      <w:numFmt w:val="lowerRoman"/>
      <w:lvlText w:val="%6."/>
      <w:lvlJc w:val="right"/>
      <w:pPr>
        <w:ind w:left="5398" w:hanging="180"/>
      </w:pPr>
    </w:lvl>
    <w:lvl w:ilvl="6" w:tplc="D09EB890">
      <w:start w:val="1"/>
      <w:numFmt w:val="decimal"/>
      <w:lvlText w:val="%7."/>
      <w:lvlJc w:val="left"/>
      <w:pPr>
        <w:ind w:left="6118" w:hanging="360"/>
      </w:pPr>
    </w:lvl>
    <w:lvl w:ilvl="7" w:tplc="0F7A0384">
      <w:start w:val="1"/>
      <w:numFmt w:val="lowerLetter"/>
      <w:lvlText w:val="%8."/>
      <w:lvlJc w:val="left"/>
      <w:pPr>
        <w:ind w:left="6838" w:hanging="360"/>
      </w:pPr>
    </w:lvl>
    <w:lvl w:ilvl="8" w:tplc="2CEEF33C">
      <w:start w:val="1"/>
      <w:numFmt w:val="lowerRoman"/>
      <w:lvlText w:val="%9."/>
      <w:lvlJc w:val="right"/>
      <w:pPr>
        <w:ind w:left="7558" w:hanging="180"/>
      </w:pPr>
    </w:lvl>
  </w:abstractNum>
  <w:abstractNum w:abstractNumId="28" w15:restartNumberingAfterBreak="0">
    <w:nsid w:val="708F748C"/>
    <w:multiLevelType w:val="multilevel"/>
    <w:tmpl w:val="3FEC9196"/>
    <w:lvl w:ilvl="0">
      <w:start w:val="5"/>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2E76AE9"/>
    <w:multiLevelType w:val="hybridMultilevel"/>
    <w:tmpl w:val="56822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383EAE"/>
    <w:multiLevelType w:val="multilevel"/>
    <w:tmpl w:val="8076BD10"/>
    <w:lvl w:ilvl="0">
      <w:start w:val="5"/>
      <w:numFmt w:val="decimal"/>
      <w:lvlText w:val="%1"/>
      <w:lvlJc w:val="left"/>
      <w:pPr>
        <w:ind w:left="420" w:hanging="420"/>
      </w:pPr>
      <w:rPr>
        <w:rFonts w:hint="default"/>
        <w:b/>
        <w:bCs/>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B61975"/>
    <w:multiLevelType w:val="hybridMultilevel"/>
    <w:tmpl w:val="C4BC12A4"/>
    <w:lvl w:ilvl="0" w:tplc="0D385FD4">
      <w:start w:val="5"/>
      <w:numFmt w:val="decimal"/>
      <w:lvlText w:val="7.%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99B7433"/>
    <w:multiLevelType w:val="hybridMultilevel"/>
    <w:tmpl w:val="3462DC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08285C"/>
    <w:multiLevelType w:val="hybridMultilevel"/>
    <w:tmpl w:val="BCF82F06"/>
    <w:lvl w:ilvl="0" w:tplc="AB08F7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F2CEA"/>
    <w:multiLevelType w:val="hybridMultilevel"/>
    <w:tmpl w:val="F396884E"/>
    <w:lvl w:ilvl="0" w:tplc="04090019">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D8F2509"/>
    <w:multiLevelType w:val="hybridMultilevel"/>
    <w:tmpl w:val="890C1C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423947">
    <w:abstractNumId w:val="25"/>
  </w:num>
  <w:num w:numId="2" w16cid:durableId="2076706736">
    <w:abstractNumId w:val="13"/>
  </w:num>
  <w:num w:numId="3" w16cid:durableId="635180528">
    <w:abstractNumId w:val="2"/>
  </w:num>
  <w:num w:numId="4" w16cid:durableId="1507163541">
    <w:abstractNumId w:val="24"/>
  </w:num>
  <w:num w:numId="5" w16cid:durableId="1081176080">
    <w:abstractNumId w:val="20"/>
  </w:num>
  <w:num w:numId="6" w16cid:durableId="704869166">
    <w:abstractNumId w:val="27"/>
  </w:num>
  <w:num w:numId="7" w16cid:durableId="1182669807">
    <w:abstractNumId w:val="33"/>
  </w:num>
  <w:num w:numId="8" w16cid:durableId="189880204">
    <w:abstractNumId w:val="23"/>
  </w:num>
  <w:num w:numId="9" w16cid:durableId="1064186439">
    <w:abstractNumId w:val="3"/>
  </w:num>
  <w:num w:numId="10" w16cid:durableId="1065376115">
    <w:abstractNumId w:val="21"/>
  </w:num>
  <w:num w:numId="11" w16cid:durableId="754516322">
    <w:abstractNumId w:val="22"/>
  </w:num>
  <w:num w:numId="12" w16cid:durableId="82381834">
    <w:abstractNumId w:val="18"/>
  </w:num>
  <w:num w:numId="13" w16cid:durableId="2140294213">
    <w:abstractNumId w:val="0"/>
  </w:num>
  <w:num w:numId="14" w16cid:durableId="1323197663">
    <w:abstractNumId w:val="8"/>
  </w:num>
  <w:num w:numId="15" w16cid:durableId="6100221">
    <w:abstractNumId w:val="26"/>
  </w:num>
  <w:num w:numId="16" w16cid:durableId="1909610045">
    <w:abstractNumId w:val="9"/>
  </w:num>
  <w:num w:numId="17" w16cid:durableId="1198086380">
    <w:abstractNumId w:val="7"/>
  </w:num>
  <w:num w:numId="18" w16cid:durableId="46034738">
    <w:abstractNumId w:val="10"/>
  </w:num>
  <w:num w:numId="19" w16cid:durableId="606813035">
    <w:abstractNumId w:val="16"/>
  </w:num>
  <w:num w:numId="20" w16cid:durableId="1042094961">
    <w:abstractNumId w:val="29"/>
  </w:num>
  <w:num w:numId="21" w16cid:durableId="1971129202">
    <w:abstractNumId w:val="14"/>
  </w:num>
  <w:num w:numId="22" w16cid:durableId="754787373">
    <w:abstractNumId w:val="32"/>
  </w:num>
  <w:num w:numId="23" w16cid:durableId="393510463">
    <w:abstractNumId w:val="19"/>
  </w:num>
  <w:num w:numId="24" w16cid:durableId="713770785">
    <w:abstractNumId w:val="28"/>
  </w:num>
  <w:num w:numId="25" w16cid:durableId="1729649534">
    <w:abstractNumId w:val="30"/>
  </w:num>
  <w:num w:numId="26" w16cid:durableId="2069568807">
    <w:abstractNumId w:val="1"/>
  </w:num>
  <w:num w:numId="27" w16cid:durableId="1213542599">
    <w:abstractNumId w:val="34"/>
  </w:num>
  <w:num w:numId="28" w16cid:durableId="288055919">
    <w:abstractNumId w:val="4"/>
  </w:num>
  <w:num w:numId="29" w16cid:durableId="1006131232">
    <w:abstractNumId w:val="35"/>
  </w:num>
  <w:num w:numId="30" w16cid:durableId="1572160342">
    <w:abstractNumId w:val="31"/>
  </w:num>
  <w:num w:numId="31" w16cid:durableId="1415861598">
    <w:abstractNumId w:val="17"/>
  </w:num>
  <w:num w:numId="32" w16cid:durableId="301010821">
    <w:abstractNumId w:val="5"/>
  </w:num>
  <w:num w:numId="33" w16cid:durableId="1354306331">
    <w:abstractNumId w:val="11"/>
  </w:num>
  <w:num w:numId="34" w16cid:durableId="431628129">
    <w:abstractNumId w:val="6"/>
  </w:num>
  <w:num w:numId="35" w16cid:durableId="2067411792">
    <w:abstractNumId w:val="12"/>
  </w:num>
  <w:num w:numId="36" w16cid:durableId="352850060">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B5"/>
    <w:rsid w:val="0000029E"/>
    <w:rsid w:val="0000070D"/>
    <w:rsid w:val="00001C9D"/>
    <w:rsid w:val="00003906"/>
    <w:rsid w:val="00003A6C"/>
    <w:rsid w:val="00003BC9"/>
    <w:rsid w:val="00014895"/>
    <w:rsid w:val="00022FBA"/>
    <w:rsid w:val="000251D4"/>
    <w:rsid w:val="000252D9"/>
    <w:rsid w:val="00025A04"/>
    <w:rsid w:val="00025F98"/>
    <w:rsid w:val="00026385"/>
    <w:rsid w:val="0002791D"/>
    <w:rsid w:val="00027C01"/>
    <w:rsid w:val="00031019"/>
    <w:rsid w:val="00032D14"/>
    <w:rsid w:val="00032F91"/>
    <w:rsid w:val="000402EF"/>
    <w:rsid w:val="0004113D"/>
    <w:rsid w:val="000434BF"/>
    <w:rsid w:val="0004443B"/>
    <w:rsid w:val="00045C4F"/>
    <w:rsid w:val="00046AC5"/>
    <w:rsid w:val="00047539"/>
    <w:rsid w:val="00047CE4"/>
    <w:rsid w:val="00050B8D"/>
    <w:rsid w:val="00051420"/>
    <w:rsid w:val="000536CC"/>
    <w:rsid w:val="0005382A"/>
    <w:rsid w:val="00056891"/>
    <w:rsid w:val="000571E8"/>
    <w:rsid w:val="000614AC"/>
    <w:rsid w:val="00064C44"/>
    <w:rsid w:val="00066BC7"/>
    <w:rsid w:val="00067B58"/>
    <w:rsid w:val="00067BB7"/>
    <w:rsid w:val="00070720"/>
    <w:rsid w:val="00073C18"/>
    <w:rsid w:val="00073F3E"/>
    <w:rsid w:val="000742BB"/>
    <w:rsid w:val="00075793"/>
    <w:rsid w:val="00076282"/>
    <w:rsid w:val="00077EC3"/>
    <w:rsid w:val="00080944"/>
    <w:rsid w:val="000817E5"/>
    <w:rsid w:val="0008208D"/>
    <w:rsid w:val="000836F8"/>
    <w:rsid w:val="00084339"/>
    <w:rsid w:val="00085145"/>
    <w:rsid w:val="0008529D"/>
    <w:rsid w:val="000863DB"/>
    <w:rsid w:val="000877D2"/>
    <w:rsid w:val="00091C11"/>
    <w:rsid w:val="0009332C"/>
    <w:rsid w:val="00094279"/>
    <w:rsid w:val="00094A3F"/>
    <w:rsid w:val="000963EA"/>
    <w:rsid w:val="00097FBF"/>
    <w:rsid w:val="000A1150"/>
    <w:rsid w:val="000A295E"/>
    <w:rsid w:val="000A37FE"/>
    <w:rsid w:val="000A5E1C"/>
    <w:rsid w:val="000A68E1"/>
    <w:rsid w:val="000B0F5F"/>
    <w:rsid w:val="000B224C"/>
    <w:rsid w:val="000B32D8"/>
    <w:rsid w:val="000B427B"/>
    <w:rsid w:val="000B5529"/>
    <w:rsid w:val="000B57D7"/>
    <w:rsid w:val="000B7241"/>
    <w:rsid w:val="000B7C80"/>
    <w:rsid w:val="000B7EBC"/>
    <w:rsid w:val="000C0BB1"/>
    <w:rsid w:val="000C371C"/>
    <w:rsid w:val="000C5B75"/>
    <w:rsid w:val="000C741C"/>
    <w:rsid w:val="000C7D55"/>
    <w:rsid w:val="000D05C9"/>
    <w:rsid w:val="000D0D4C"/>
    <w:rsid w:val="000D2065"/>
    <w:rsid w:val="000D2445"/>
    <w:rsid w:val="000D36C9"/>
    <w:rsid w:val="000D45FF"/>
    <w:rsid w:val="000D4CD0"/>
    <w:rsid w:val="000D4CE3"/>
    <w:rsid w:val="000D5578"/>
    <w:rsid w:val="000E000F"/>
    <w:rsid w:val="000E01B1"/>
    <w:rsid w:val="000E0904"/>
    <w:rsid w:val="000E0C46"/>
    <w:rsid w:val="000E35D6"/>
    <w:rsid w:val="000E465F"/>
    <w:rsid w:val="000E5558"/>
    <w:rsid w:val="000F06E8"/>
    <w:rsid w:val="000F493E"/>
    <w:rsid w:val="000F72F4"/>
    <w:rsid w:val="000F738E"/>
    <w:rsid w:val="000F7681"/>
    <w:rsid w:val="0010191E"/>
    <w:rsid w:val="00101F99"/>
    <w:rsid w:val="00102F2D"/>
    <w:rsid w:val="0010380C"/>
    <w:rsid w:val="0010393E"/>
    <w:rsid w:val="00103DF9"/>
    <w:rsid w:val="0010489D"/>
    <w:rsid w:val="0010696F"/>
    <w:rsid w:val="00106FD2"/>
    <w:rsid w:val="00114B3B"/>
    <w:rsid w:val="0011567F"/>
    <w:rsid w:val="00117E05"/>
    <w:rsid w:val="00120641"/>
    <w:rsid w:val="00120C9A"/>
    <w:rsid w:val="00122C1F"/>
    <w:rsid w:val="001230F4"/>
    <w:rsid w:val="00125ADF"/>
    <w:rsid w:val="001306FC"/>
    <w:rsid w:val="0013095B"/>
    <w:rsid w:val="00130EA6"/>
    <w:rsid w:val="001319DE"/>
    <w:rsid w:val="001331B0"/>
    <w:rsid w:val="00134EFA"/>
    <w:rsid w:val="001358A7"/>
    <w:rsid w:val="00135D67"/>
    <w:rsid w:val="00135F1E"/>
    <w:rsid w:val="001370E8"/>
    <w:rsid w:val="0014031F"/>
    <w:rsid w:val="00142530"/>
    <w:rsid w:val="00142905"/>
    <w:rsid w:val="00143796"/>
    <w:rsid w:val="00145180"/>
    <w:rsid w:val="00146D15"/>
    <w:rsid w:val="001473C3"/>
    <w:rsid w:val="00147645"/>
    <w:rsid w:val="00151EC3"/>
    <w:rsid w:val="00153A6F"/>
    <w:rsid w:val="00156553"/>
    <w:rsid w:val="00157F73"/>
    <w:rsid w:val="00160F1B"/>
    <w:rsid w:val="0016489E"/>
    <w:rsid w:val="00164BFE"/>
    <w:rsid w:val="00164C90"/>
    <w:rsid w:val="00166EDB"/>
    <w:rsid w:val="00171DC5"/>
    <w:rsid w:val="00173E5F"/>
    <w:rsid w:val="00174522"/>
    <w:rsid w:val="00174E3C"/>
    <w:rsid w:val="00175598"/>
    <w:rsid w:val="0017582E"/>
    <w:rsid w:val="00176298"/>
    <w:rsid w:val="00177707"/>
    <w:rsid w:val="001779C5"/>
    <w:rsid w:val="0018017B"/>
    <w:rsid w:val="00181502"/>
    <w:rsid w:val="001819FF"/>
    <w:rsid w:val="001822AC"/>
    <w:rsid w:val="00182D26"/>
    <w:rsid w:val="00183081"/>
    <w:rsid w:val="0018361C"/>
    <w:rsid w:val="00184BB1"/>
    <w:rsid w:val="00184BB9"/>
    <w:rsid w:val="00190535"/>
    <w:rsid w:val="00190BBA"/>
    <w:rsid w:val="0019103F"/>
    <w:rsid w:val="00191A36"/>
    <w:rsid w:val="00191D8F"/>
    <w:rsid w:val="00192F29"/>
    <w:rsid w:val="0019714C"/>
    <w:rsid w:val="001972E0"/>
    <w:rsid w:val="001A061D"/>
    <w:rsid w:val="001A0CFB"/>
    <w:rsid w:val="001A0E4C"/>
    <w:rsid w:val="001A186D"/>
    <w:rsid w:val="001A1C5E"/>
    <w:rsid w:val="001A3811"/>
    <w:rsid w:val="001A382F"/>
    <w:rsid w:val="001A4196"/>
    <w:rsid w:val="001A49B0"/>
    <w:rsid w:val="001A566A"/>
    <w:rsid w:val="001A61BD"/>
    <w:rsid w:val="001A7AF7"/>
    <w:rsid w:val="001B304C"/>
    <w:rsid w:val="001B3CA2"/>
    <w:rsid w:val="001B44BA"/>
    <w:rsid w:val="001B486F"/>
    <w:rsid w:val="001B4F6D"/>
    <w:rsid w:val="001B6C4E"/>
    <w:rsid w:val="001C0C22"/>
    <w:rsid w:val="001C0DDC"/>
    <w:rsid w:val="001C155D"/>
    <w:rsid w:val="001C2345"/>
    <w:rsid w:val="001C376E"/>
    <w:rsid w:val="001C479F"/>
    <w:rsid w:val="001C666C"/>
    <w:rsid w:val="001C6DDD"/>
    <w:rsid w:val="001C6F15"/>
    <w:rsid w:val="001C75B4"/>
    <w:rsid w:val="001C7CD3"/>
    <w:rsid w:val="001D020E"/>
    <w:rsid w:val="001D119A"/>
    <w:rsid w:val="001D1D47"/>
    <w:rsid w:val="001D65D6"/>
    <w:rsid w:val="001E2F86"/>
    <w:rsid w:val="001E3C5D"/>
    <w:rsid w:val="001E4E07"/>
    <w:rsid w:val="001E517F"/>
    <w:rsid w:val="001E5BBA"/>
    <w:rsid w:val="001E70FC"/>
    <w:rsid w:val="001E7912"/>
    <w:rsid w:val="001E7AC6"/>
    <w:rsid w:val="001F02CB"/>
    <w:rsid w:val="001F19D3"/>
    <w:rsid w:val="001F1B28"/>
    <w:rsid w:val="001F2434"/>
    <w:rsid w:val="001F2CDB"/>
    <w:rsid w:val="001F33A1"/>
    <w:rsid w:val="001F3925"/>
    <w:rsid w:val="001F3B96"/>
    <w:rsid w:val="001F3E79"/>
    <w:rsid w:val="001F5544"/>
    <w:rsid w:val="001F5734"/>
    <w:rsid w:val="001F604F"/>
    <w:rsid w:val="001F6A1F"/>
    <w:rsid w:val="0020016F"/>
    <w:rsid w:val="0020144A"/>
    <w:rsid w:val="00204AAB"/>
    <w:rsid w:val="00204D31"/>
    <w:rsid w:val="002063CB"/>
    <w:rsid w:val="002067EE"/>
    <w:rsid w:val="00206D6C"/>
    <w:rsid w:val="00210C40"/>
    <w:rsid w:val="002123F4"/>
    <w:rsid w:val="00213CF8"/>
    <w:rsid w:val="00216550"/>
    <w:rsid w:val="00217DF5"/>
    <w:rsid w:val="00222712"/>
    <w:rsid w:val="00224615"/>
    <w:rsid w:val="0022502C"/>
    <w:rsid w:val="00227CC0"/>
    <w:rsid w:val="002312BF"/>
    <w:rsid w:val="00233729"/>
    <w:rsid w:val="00233D03"/>
    <w:rsid w:val="0023471C"/>
    <w:rsid w:val="00234AC1"/>
    <w:rsid w:val="00241A6A"/>
    <w:rsid w:val="0024230C"/>
    <w:rsid w:val="00242F39"/>
    <w:rsid w:val="002448A4"/>
    <w:rsid w:val="00244AF2"/>
    <w:rsid w:val="002451F6"/>
    <w:rsid w:val="00246FD0"/>
    <w:rsid w:val="00247B3C"/>
    <w:rsid w:val="00250B25"/>
    <w:rsid w:val="002529B3"/>
    <w:rsid w:val="00253DE6"/>
    <w:rsid w:val="00256B19"/>
    <w:rsid w:val="002577B3"/>
    <w:rsid w:val="0026074C"/>
    <w:rsid w:val="00261A41"/>
    <w:rsid w:val="00261B7F"/>
    <w:rsid w:val="00261FA9"/>
    <w:rsid w:val="00262EBD"/>
    <w:rsid w:val="0026383F"/>
    <w:rsid w:val="0026595C"/>
    <w:rsid w:val="00266ED8"/>
    <w:rsid w:val="00267C39"/>
    <w:rsid w:val="00271050"/>
    <w:rsid w:val="002716A3"/>
    <w:rsid w:val="0027301C"/>
    <w:rsid w:val="002733EB"/>
    <w:rsid w:val="00274AB2"/>
    <w:rsid w:val="0028095D"/>
    <w:rsid w:val="00280C87"/>
    <w:rsid w:val="0028248B"/>
    <w:rsid w:val="0028311A"/>
    <w:rsid w:val="002837B1"/>
    <w:rsid w:val="00284968"/>
    <w:rsid w:val="00290571"/>
    <w:rsid w:val="00293C0E"/>
    <w:rsid w:val="002949F2"/>
    <w:rsid w:val="00294BAF"/>
    <w:rsid w:val="00295352"/>
    <w:rsid w:val="002956F9"/>
    <w:rsid w:val="00295968"/>
    <w:rsid w:val="00295D86"/>
    <w:rsid w:val="002964E8"/>
    <w:rsid w:val="002A0611"/>
    <w:rsid w:val="002A0B82"/>
    <w:rsid w:val="002A197B"/>
    <w:rsid w:val="002A2250"/>
    <w:rsid w:val="002A2470"/>
    <w:rsid w:val="002A2617"/>
    <w:rsid w:val="002A400D"/>
    <w:rsid w:val="002A4734"/>
    <w:rsid w:val="002A582C"/>
    <w:rsid w:val="002B25FA"/>
    <w:rsid w:val="002B27B7"/>
    <w:rsid w:val="002B385A"/>
    <w:rsid w:val="002B3958"/>
    <w:rsid w:val="002B4636"/>
    <w:rsid w:val="002B49F0"/>
    <w:rsid w:val="002B6884"/>
    <w:rsid w:val="002B7979"/>
    <w:rsid w:val="002C06A0"/>
    <w:rsid w:val="002C15C7"/>
    <w:rsid w:val="002C1ECD"/>
    <w:rsid w:val="002C28FB"/>
    <w:rsid w:val="002C5D3D"/>
    <w:rsid w:val="002C65C5"/>
    <w:rsid w:val="002D2592"/>
    <w:rsid w:val="002D29D8"/>
    <w:rsid w:val="002D3E7B"/>
    <w:rsid w:val="002D56D6"/>
    <w:rsid w:val="002D5A7B"/>
    <w:rsid w:val="002D6D52"/>
    <w:rsid w:val="002E0B13"/>
    <w:rsid w:val="002E696B"/>
    <w:rsid w:val="002E6EF7"/>
    <w:rsid w:val="002E7C6F"/>
    <w:rsid w:val="002F0542"/>
    <w:rsid w:val="002F1020"/>
    <w:rsid w:val="002F2241"/>
    <w:rsid w:val="002F56AE"/>
    <w:rsid w:val="002F68B4"/>
    <w:rsid w:val="002F6C21"/>
    <w:rsid w:val="00300A3B"/>
    <w:rsid w:val="003014E5"/>
    <w:rsid w:val="00301D99"/>
    <w:rsid w:val="00303402"/>
    <w:rsid w:val="00303C38"/>
    <w:rsid w:val="00303CD0"/>
    <w:rsid w:val="00304632"/>
    <w:rsid w:val="003077B5"/>
    <w:rsid w:val="00310178"/>
    <w:rsid w:val="00310E0E"/>
    <w:rsid w:val="00310F0C"/>
    <w:rsid w:val="00311027"/>
    <w:rsid w:val="00311833"/>
    <w:rsid w:val="00311A4F"/>
    <w:rsid w:val="003125A1"/>
    <w:rsid w:val="0031482B"/>
    <w:rsid w:val="00314B99"/>
    <w:rsid w:val="0031704C"/>
    <w:rsid w:val="003176C1"/>
    <w:rsid w:val="00321094"/>
    <w:rsid w:val="00321689"/>
    <w:rsid w:val="00322497"/>
    <w:rsid w:val="0032421A"/>
    <w:rsid w:val="00326243"/>
    <w:rsid w:val="00326E40"/>
    <w:rsid w:val="00332A5D"/>
    <w:rsid w:val="0033438D"/>
    <w:rsid w:val="00336784"/>
    <w:rsid w:val="003376C9"/>
    <w:rsid w:val="003401E2"/>
    <w:rsid w:val="00341152"/>
    <w:rsid w:val="00343699"/>
    <w:rsid w:val="003436E3"/>
    <w:rsid w:val="00343B6F"/>
    <w:rsid w:val="00343C5D"/>
    <w:rsid w:val="003456F2"/>
    <w:rsid w:val="00346B59"/>
    <w:rsid w:val="00351757"/>
    <w:rsid w:val="00351886"/>
    <w:rsid w:val="00352B03"/>
    <w:rsid w:val="00352DFA"/>
    <w:rsid w:val="00352FAE"/>
    <w:rsid w:val="00353B3E"/>
    <w:rsid w:val="003568E4"/>
    <w:rsid w:val="003574C5"/>
    <w:rsid w:val="00357E15"/>
    <w:rsid w:val="00361025"/>
    <w:rsid w:val="00361EA8"/>
    <w:rsid w:val="00362649"/>
    <w:rsid w:val="0036501B"/>
    <w:rsid w:val="00366792"/>
    <w:rsid w:val="00366C7E"/>
    <w:rsid w:val="003675B2"/>
    <w:rsid w:val="00367F2E"/>
    <w:rsid w:val="00371A53"/>
    <w:rsid w:val="00371FDB"/>
    <w:rsid w:val="00372165"/>
    <w:rsid w:val="00373E3E"/>
    <w:rsid w:val="00377784"/>
    <w:rsid w:val="0038106C"/>
    <w:rsid w:val="00382193"/>
    <w:rsid w:val="0038292C"/>
    <w:rsid w:val="00382ED8"/>
    <w:rsid w:val="003839AF"/>
    <w:rsid w:val="0038751B"/>
    <w:rsid w:val="00390DC8"/>
    <w:rsid w:val="00393A0A"/>
    <w:rsid w:val="0039552D"/>
    <w:rsid w:val="003A064E"/>
    <w:rsid w:val="003A094C"/>
    <w:rsid w:val="003A18D1"/>
    <w:rsid w:val="003A2D2A"/>
    <w:rsid w:val="003A3DBA"/>
    <w:rsid w:val="003B28A9"/>
    <w:rsid w:val="003B346E"/>
    <w:rsid w:val="003B40D8"/>
    <w:rsid w:val="003B55CA"/>
    <w:rsid w:val="003C3D3B"/>
    <w:rsid w:val="003C5AF0"/>
    <w:rsid w:val="003C5FEF"/>
    <w:rsid w:val="003C74EE"/>
    <w:rsid w:val="003C78F2"/>
    <w:rsid w:val="003D1A47"/>
    <w:rsid w:val="003D1CF4"/>
    <w:rsid w:val="003D2935"/>
    <w:rsid w:val="003D3BE6"/>
    <w:rsid w:val="003D3CF3"/>
    <w:rsid w:val="003D45E3"/>
    <w:rsid w:val="003D6D83"/>
    <w:rsid w:val="003D77D7"/>
    <w:rsid w:val="003D7ABD"/>
    <w:rsid w:val="003E2493"/>
    <w:rsid w:val="003E2C42"/>
    <w:rsid w:val="003E4FF5"/>
    <w:rsid w:val="003E67ED"/>
    <w:rsid w:val="003F179F"/>
    <w:rsid w:val="003F1FB7"/>
    <w:rsid w:val="003F4B45"/>
    <w:rsid w:val="003F62A2"/>
    <w:rsid w:val="003F62EB"/>
    <w:rsid w:val="003F6843"/>
    <w:rsid w:val="003F7518"/>
    <w:rsid w:val="004034B9"/>
    <w:rsid w:val="00404B1F"/>
    <w:rsid w:val="00405683"/>
    <w:rsid w:val="00405C3C"/>
    <w:rsid w:val="00407818"/>
    <w:rsid w:val="004103A9"/>
    <w:rsid w:val="00412372"/>
    <w:rsid w:val="0041316F"/>
    <w:rsid w:val="00413EC6"/>
    <w:rsid w:val="00414EA6"/>
    <w:rsid w:val="00415A17"/>
    <w:rsid w:val="004166BA"/>
    <w:rsid w:val="0041678E"/>
    <w:rsid w:val="00420B0C"/>
    <w:rsid w:val="004232A0"/>
    <w:rsid w:val="00423692"/>
    <w:rsid w:val="0042720A"/>
    <w:rsid w:val="00430169"/>
    <w:rsid w:val="0043109A"/>
    <w:rsid w:val="0043194E"/>
    <w:rsid w:val="00432D1D"/>
    <w:rsid w:val="00432E71"/>
    <w:rsid w:val="004330AF"/>
    <w:rsid w:val="0043542D"/>
    <w:rsid w:val="004369EA"/>
    <w:rsid w:val="0044058D"/>
    <w:rsid w:val="00440BC3"/>
    <w:rsid w:val="00441E9A"/>
    <w:rsid w:val="0044218D"/>
    <w:rsid w:val="00442520"/>
    <w:rsid w:val="004427DE"/>
    <w:rsid w:val="00442916"/>
    <w:rsid w:val="00442DF0"/>
    <w:rsid w:val="00443F14"/>
    <w:rsid w:val="00444243"/>
    <w:rsid w:val="004447D8"/>
    <w:rsid w:val="0044551E"/>
    <w:rsid w:val="00445697"/>
    <w:rsid w:val="00450D63"/>
    <w:rsid w:val="00451C78"/>
    <w:rsid w:val="004525C5"/>
    <w:rsid w:val="00452A10"/>
    <w:rsid w:val="00454679"/>
    <w:rsid w:val="00454BA1"/>
    <w:rsid w:val="00455FC1"/>
    <w:rsid w:val="00461441"/>
    <w:rsid w:val="004649F9"/>
    <w:rsid w:val="0046731A"/>
    <w:rsid w:val="004708A5"/>
    <w:rsid w:val="00470AF0"/>
    <w:rsid w:val="00472B26"/>
    <w:rsid w:val="00473AE3"/>
    <w:rsid w:val="00474DB0"/>
    <w:rsid w:val="00475793"/>
    <w:rsid w:val="004765EF"/>
    <w:rsid w:val="0048022C"/>
    <w:rsid w:val="00480E22"/>
    <w:rsid w:val="004839D5"/>
    <w:rsid w:val="004840FE"/>
    <w:rsid w:val="004841B6"/>
    <w:rsid w:val="00484617"/>
    <w:rsid w:val="004864E7"/>
    <w:rsid w:val="0048788F"/>
    <w:rsid w:val="00490707"/>
    <w:rsid w:val="00492FE2"/>
    <w:rsid w:val="00495C99"/>
    <w:rsid w:val="00495E32"/>
    <w:rsid w:val="00496A16"/>
    <w:rsid w:val="004A0291"/>
    <w:rsid w:val="004A4628"/>
    <w:rsid w:val="004A4A8F"/>
    <w:rsid w:val="004A4DF7"/>
    <w:rsid w:val="004A7F47"/>
    <w:rsid w:val="004B0CCE"/>
    <w:rsid w:val="004B157A"/>
    <w:rsid w:val="004B18EE"/>
    <w:rsid w:val="004B3438"/>
    <w:rsid w:val="004B4341"/>
    <w:rsid w:val="004B47B8"/>
    <w:rsid w:val="004B4DC4"/>
    <w:rsid w:val="004B6917"/>
    <w:rsid w:val="004C079E"/>
    <w:rsid w:val="004C3468"/>
    <w:rsid w:val="004C34FA"/>
    <w:rsid w:val="004C460D"/>
    <w:rsid w:val="004C50AA"/>
    <w:rsid w:val="004C79CC"/>
    <w:rsid w:val="004C7D71"/>
    <w:rsid w:val="004D0603"/>
    <w:rsid w:val="004D5190"/>
    <w:rsid w:val="004D5F95"/>
    <w:rsid w:val="004D68D9"/>
    <w:rsid w:val="004D6A99"/>
    <w:rsid w:val="004E047A"/>
    <w:rsid w:val="004E0886"/>
    <w:rsid w:val="004E14AE"/>
    <w:rsid w:val="004E1DFC"/>
    <w:rsid w:val="004E28A0"/>
    <w:rsid w:val="004E3DB6"/>
    <w:rsid w:val="004E4AB3"/>
    <w:rsid w:val="004E5991"/>
    <w:rsid w:val="004E6DB1"/>
    <w:rsid w:val="004F49E6"/>
    <w:rsid w:val="004F4B71"/>
    <w:rsid w:val="004F4EEC"/>
    <w:rsid w:val="0050057E"/>
    <w:rsid w:val="00503C97"/>
    <w:rsid w:val="00503D77"/>
    <w:rsid w:val="0050590F"/>
    <w:rsid w:val="00505B87"/>
    <w:rsid w:val="00505D21"/>
    <w:rsid w:val="005061E4"/>
    <w:rsid w:val="00506578"/>
    <w:rsid w:val="005078AC"/>
    <w:rsid w:val="005114B0"/>
    <w:rsid w:val="00512027"/>
    <w:rsid w:val="0051411C"/>
    <w:rsid w:val="00514A64"/>
    <w:rsid w:val="005175B7"/>
    <w:rsid w:val="00517E34"/>
    <w:rsid w:val="00520901"/>
    <w:rsid w:val="00521E5E"/>
    <w:rsid w:val="005220E8"/>
    <w:rsid w:val="005228C1"/>
    <w:rsid w:val="00522ACE"/>
    <w:rsid w:val="00523D58"/>
    <w:rsid w:val="005245DB"/>
    <w:rsid w:val="00524F30"/>
    <w:rsid w:val="0053049C"/>
    <w:rsid w:val="005312C1"/>
    <w:rsid w:val="005321FE"/>
    <w:rsid w:val="005329ED"/>
    <w:rsid w:val="00533F80"/>
    <w:rsid w:val="0053484E"/>
    <w:rsid w:val="00541C98"/>
    <w:rsid w:val="00542246"/>
    <w:rsid w:val="00543430"/>
    <w:rsid w:val="0054357D"/>
    <w:rsid w:val="00544046"/>
    <w:rsid w:val="00546B2C"/>
    <w:rsid w:val="005512E6"/>
    <w:rsid w:val="00551C50"/>
    <w:rsid w:val="00552690"/>
    <w:rsid w:val="005543C5"/>
    <w:rsid w:val="00554F96"/>
    <w:rsid w:val="0055533C"/>
    <w:rsid w:val="005602DF"/>
    <w:rsid w:val="0056080A"/>
    <w:rsid w:val="00561488"/>
    <w:rsid w:val="005627D1"/>
    <w:rsid w:val="00563409"/>
    <w:rsid w:val="005635F7"/>
    <w:rsid w:val="00563E00"/>
    <w:rsid w:val="00564A78"/>
    <w:rsid w:val="005651CD"/>
    <w:rsid w:val="0057253C"/>
    <w:rsid w:val="00572CA4"/>
    <w:rsid w:val="00573533"/>
    <w:rsid w:val="00574537"/>
    <w:rsid w:val="00574621"/>
    <w:rsid w:val="0057533B"/>
    <w:rsid w:val="0058019A"/>
    <w:rsid w:val="005818BE"/>
    <w:rsid w:val="00581A6F"/>
    <w:rsid w:val="00581F8B"/>
    <w:rsid w:val="0058226F"/>
    <w:rsid w:val="005830E6"/>
    <w:rsid w:val="00584774"/>
    <w:rsid w:val="005901EC"/>
    <w:rsid w:val="005903DA"/>
    <w:rsid w:val="005942C6"/>
    <w:rsid w:val="00594856"/>
    <w:rsid w:val="00594AA7"/>
    <w:rsid w:val="00594D10"/>
    <w:rsid w:val="00595870"/>
    <w:rsid w:val="005972C8"/>
    <w:rsid w:val="00597BD2"/>
    <w:rsid w:val="005A0B68"/>
    <w:rsid w:val="005A175A"/>
    <w:rsid w:val="005A37B4"/>
    <w:rsid w:val="005A3DEE"/>
    <w:rsid w:val="005A4915"/>
    <w:rsid w:val="005A703E"/>
    <w:rsid w:val="005A7E4D"/>
    <w:rsid w:val="005A7F9C"/>
    <w:rsid w:val="005B0F7B"/>
    <w:rsid w:val="005B1349"/>
    <w:rsid w:val="005B1E1D"/>
    <w:rsid w:val="005B5572"/>
    <w:rsid w:val="005B57AB"/>
    <w:rsid w:val="005B62B7"/>
    <w:rsid w:val="005B6405"/>
    <w:rsid w:val="005C0AE9"/>
    <w:rsid w:val="005C15DD"/>
    <w:rsid w:val="005C4478"/>
    <w:rsid w:val="005C46E7"/>
    <w:rsid w:val="005C4D07"/>
    <w:rsid w:val="005C4D9B"/>
    <w:rsid w:val="005C5D02"/>
    <w:rsid w:val="005C5DB6"/>
    <w:rsid w:val="005C6867"/>
    <w:rsid w:val="005C6E23"/>
    <w:rsid w:val="005D1E55"/>
    <w:rsid w:val="005D2203"/>
    <w:rsid w:val="005D26F7"/>
    <w:rsid w:val="005D45A8"/>
    <w:rsid w:val="005D56D8"/>
    <w:rsid w:val="005E0B8D"/>
    <w:rsid w:val="005E113A"/>
    <w:rsid w:val="005E1411"/>
    <w:rsid w:val="005E32EE"/>
    <w:rsid w:val="005E47E6"/>
    <w:rsid w:val="005E7428"/>
    <w:rsid w:val="005E77B5"/>
    <w:rsid w:val="005F15AF"/>
    <w:rsid w:val="005F173C"/>
    <w:rsid w:val="005F385E"/>
    <w:rsid w:val="005F4089"/>
    <w:rsid w:val="005F4EE6"/>
    <w:rsid w:val="00600A68"/>
    <w:rsid w:val="006012ED"/>
    <w:rsid w:val="0060482E"/>
    <w:rsid w:val="00604B55"/>
    <w:rsid w:val="0060568C"/>
    <w:rsid w:val="006059AA"/>
    <w:rsid w:val="00606B40"/>
    <w:rsid w:val="00607BB2"/>
    <w:rsid w:val="00610525"/>
    <w:rsid w:val="0061130B"/>
    <w:rsid w:val="006126CE"/>
    <w:rsid w:val="006147E3"/>
    <w:rsid w:val="00617C5E"/>
    <w:rsid w:val="0062152F"/>
    <w:rsid w:val="00621A43"/>
    <w:rsid w:val="00621FB3"/>
    <w:rsid w:val="0062308B"/>
    <w:rsid w:val="00626896"/>
    <w:rsid w:val="00626AB2"/>
    <w:rsid w:val="0062763D"/>
    <w:rsid w:val="006302F4"/>
    <w:rsid w:val="00630C51"/>
    <w:rsid w:val="006312F4"/>
    <w:rsid w:val="00635426"/>
    <w:rsid w:val="00635D0C"/>
    <w:rsid w:val="00642C50"/>
    <w:rsid w:val="006449E2"/>
    <w:rsid w:val="00646163"/>
    <w:rsid w:val="00646714"/>
    <w:rsid w:val="00646C0E"/>
    <w:rsid w:val="0064738A"/>
    <w:rsid w:val="006523C5"/>
    <w:rsid w:val="006525C2"/>
    <w:rsid w:val="00652D33"/>
    <w:rsid w:val="00653391"/>
    <w:rsid w:val="00653EB9"/>
    <w:rsid w:val="006541C1"/>
    <w:rsid w:val="00654F0F"/>
    <w:rsid w:val="006605BC"/>
    <w:rsid w:val="006629C9"/>
    <w:rsid w:val="0066337D"/>
    <w:rsid w:val="0066551F"/>
    <w:rsid w:val="0066788D"/>
    <w:rsid w:val="0067066D"/>
    <w:rsid w:val="006707A4"/>
    <w:rsid w:val="0067329F"/>
    <w:rsid w:val="00673FF9"/>
    <w:rsid w:val="006746AC"/>
    <w:rsid w:val="00674821"/>
    <w:rsid w:val="00674E0A"/>
    <w:rsid w:val="0067632D"/>
    <w:rsid w:val="006765D4"/>
    <w:rsid w:val="006778DD"/>
    <w:rsid w:val="00677AD9"/>
    <w:rsid w:val="00677E40"/>
    <w:rsid w:val="00680147"/>
    <w:rsid w:val="006806FC"/>
    <w:rsid w:val="00681494"/>
    <w:rsid w:val="0068206C"/>
    <w:rsid w:val="006834A3"/>
    <w:rsid w:val="00683782"/>
    <w:rsid w:val="00690774"/>
    <w:rsid w:val="00691AEF"/>
    <w:rsid w:val="0069216B"/>
    <w:rsid w:val="00692B9F"/>
    <w:rsid w:val="00695FBC"/>
    <w:rsid w:val="00696A6B"/>
    <w:rsid w:val="00696AAD"/>
    <w:rsid w:val="00697729"/>
    <w:rsid w:val="006A1535"/>
    <w:rsid w:val="006A1867"/>
    <w:rsid w:val="006A1EB5"/>
    <w:rsid w:val="006A249C"/>
    <w:rsid w:val="006A2841"/>
    <w:rsid w:val="006A6670"/>
    <w:rsid w:val="006A67F8"/>
    <w:rsid w:val="006A6DD6"/>
    <w:rsid w:val="006A7694"/>
    <w:rsid w:val="006B2E58"/>
    <w:rsid w:val="006B3058"/>
    <w:rsid w:val="006B3726"/>
    <w:rsid w:val="006C04A5"/>
    <w:rsid w:val="006C1211"/>
    <w:rsid w:val="006C2472"/>
    <w:rsid w:val="006C25BE"/>
    <w:rsid w:val="006C3805"/>
    <w:rsid w:val="006C3E8E"/>
    <w:rsid w:val="006C4168"/>
    <w:rsid w:val="006C4D65"/>
    <w:rsid w:val="006C7980"/>
    <w:rsid w:val="006C79B5"/>
    <w:rsid w:val="006D1149"/>
    <w:rsid w:val="006D3667"/>
    <w:rsid w:val="006D3C8D"/>
    <w:rsid w:val="006D4269"/>
    <w:rsid w:val="006D6A90"/>
    <w:rsid w:val="006D711C"/>
    <w:rsid w:val="006E49AF"/>
    <w:rsid w:val="006E49C9"/>
    <w:rsid w:val="006E752F"/>
    <w:rsid w:val="006F1603"/>
    <w:rsid w:val="006F1D7F"/>
    <w:rsid w:val="006F297A"/>
    <w:rsid w:val="006F2FD4"/>
    <w:rsid w:val="006F30A0"/>
    <w:rsid w:val="006F38BE"/>
    <w:rsid w:val="006F38D9"/>
    <w:rsid w:val="006F39D6"/>
    <w:rsid w:val="006F3BB9"/>
    <w:rsid w:val="006F57E2"/>
    <w:rsid w:val="006F6327"/>
    <w:rsid w:val="00700B76"/>
    <w:rsid w:val="00702195"/>
    <w:rsid w:val="00703BE2"/>
    <w:rsid w:val="007041E2"/>
    <w:rsid w:val="007049F8"/>
    <w:rsid w:val="00705260"/>
    <w:rsid w:val="0070592D"/>
    <w:rsid w:val="00705A87"/>
    <w:rsid w:val="0070797C"/>
    <w:rsid w:val="00711989"/>
    <w:rsid w:val="00711E7C"/>
    <w:rsid w:val="007138C3"/>
    <w:rsid w:val="00713B25"/>
    <w:rsid w:val="00715164"/>
    <w:rsid w:val="0071641A"/>
    <w:rsid w:val="007168C3"/>
    <w:rsid w:val="007171F6"/>
    <w:rsid w:val="00717335"/>
    <w:rsid w:val="007177A4"/>
    <w:rsid w:val="00717966"/>
    <w:rsid w:val="007179BE"/>
    <w:rsid w:val="00720A8C"/>
    <w:rsid w:val="0072164A"/>
    <w:rsid w:val="0072166C"/>
    <w:rsid w:val="0072193D"/>
    <w:rsid w:val="00722881"/>
    <w:rsid w:val="00722999"/>
    <w:rsid w:val="007235FE"/>
    <w:rsid w:val="00724261"/>
    <w:rsid w:val="007250FB"/>
    <w:rsid w:val="00725721"/>
    <w:rsid w:val="00730552"/>
    <w:rsid w:val="00730F0F"/>
    <w:rsid w:val="00731E2A"/>
    <w:rsid w:val="0073218D"/>
    <w:rsid w:val="00732584"/>
    <w:rsid w:val="0073725E"/>
    <w:rsid w:val="0074015C"/>
    <w:rsid w:val="00743B1B"/>
    <w:rsid w:val="007447EC"/>
    <w:rsid w:val="00745855"/>
    <w:rsid w:val="00745E6B"/>
    <w:rsid w:val="00746EA2"/>
    <w:rsid w:val="0074720B"/>
    <w:rsid w:val="0074786C"/>
    <w:rsid w:val="00747E99"/>
    <w:rsid w:val="00747FF7"/>
    <w:rsid w:val="00750BA5"/>
    <w:rsid w:val="00752540"/>
    <w:rsid w:val="0075327E"/>
    <w:rsid w:val="00753B4C"/>
    <w:rsid w:val="00753B4D"/>
    <w:rsid w:val="00756E52"/>
    <w:rsid w:val="0075794C"/>
    <w:rsid w:val="00757B5B"/>
    <w:rsid w:val="00757B8B"/>
    <w:rsid w:val="007609C3"/>
    <w:rsid w:val="00760A42"/>
    <w:rsid w:val="00760D2D"/>
    <w:rsid w:val="00763BC7"/>
    <w:rsid w:val="00763D98"/>
    <w:rsid w:val="00763ED3"/>
    <w:rsid w:val="0076569D"/>
    <w:rsid w:val="00765A25"/>
    <w:rsid w:val="00765C7A"/>
    <w:rsid w:val="00766BA6"/>
    <w:rsid w:val="007724CD"/>
    <w:rsid w:val="00772999"/>
    <w:rsid w:val="00775296"/>
    <w:rsid w:val="00777E18"/>
    <w:rsid w:val="00781A66"/>
    <w:rsid w:val="00782AC4"/>
    <w:rsid w:val="00783234"/>
    <w:rsid w:val="0078376A"/>
    <w:rsid w:val="00783AD3"/>
    <w:rsid w:val="00783C61"/>
    <w:rsid w:val="00784AAA"/>
    <w:rsid w:val="00785497"/>
    <w:rsid w:val="00785DBC"/>
    <w:rsid w:val="00785DC6"/>
    <w:rsid w:val="007877F7"/>
    <w:rsid w:val="00791C8E"/>
    <w:rsid w:val="00792C44"/>
    <w:rsid w:val="00793AEE"/>
    <w:rsid w:val="00793C1D"/>
    <w:rsid w:val="00793E7F"/>
    <w:rsid w:val="00794254"/>
    <w:rsid w:val="00794798"/>
    <w:rsid w:val="0079488A"/>
    <w:rsid w:val="00796EB8"/>
    <w:rsid w:val="007A095E"/>
    <w:rsid w:val="007A1ECF"/>
    <w:rsid w:val="007A272D"/>
    <w:rsid w:val="007A4C49"/>
    <w:rsid w:val="007A689C"/>
    <w:rsid w:val="007B00ED"/>
    <w:rsid w:val="007B1ED1"/>
    <w:rsid w:val="007B419C"/>
    <w:rsid w:val="007B4A47"/>
    <w:rsid w:val="007C057F"/>
    <w:rsid w:val="007C1441"/>
    <w:rsid w:val="007C1696"/>
    <w:rsid w:val="007C29EE"/>
    <w:rsid w:val="007C3493"/>
    <w:rsid w:val="007C3978"/>
    <w:rsid w:val="007C5592"/>
    <w:rsid w:val="007C6A61"/>
    <w:rsid w:val="007C6B27"/>
    <w:rsid w:val="007C77B8"/>
    <w:rsid w:val="007D0E95"/>
    <w:rsid w:val="007D19AF"/>
    <w:rsid w:val="007D2158"/>
    <w:rsid w:val="007D2C5C"/>
    <w:rsid w:val="007D65DF"/>
    <w:rsid w:val="007D7402"/>
    <w:rsid w:val="007D7547"/>
    <w:rsid w:val="007E0475"/>
    <w:rsid w:val="007E2956"/>
    <w:rsid w:val="007E2A77"/>
    <w:rsid w:val="007E44FE"/>
    <w:rsid w:val="007E4B85"/>
    <w:rsid w:val="007E51BF"/>
    <w:rsid w:val="007E708F"/>
    <w:rsid w:val="007F1842"/>
    <w:rsid w:val="007F386F"/>
    <w:rsid w:val="00801B29"/>
    <w:rsid w:val="00803DC6"/>
    <w:rsid w:val="0080598C"/>
    <w:rsid w:val="00806248"/>
    <w:rsid w:val="00806F81"/>
    <w:rsid w:val="00807B72"/>
    <w:rsid w:val="00807F8C"/>
    <w:rsid w:val="0081004F"/>
    <w:rsid w:val="0081061A"/>
    <w:rsid w:val="00811187"/>
    <w:rsid w:val="0081189E"/>
    <w:rsid w:val="00812EDF"/>
    <w:rsid w:val="00815285"/>
    <w:rsid w:val="0081670B"/>
    <w:rsid w:val="00817736"/>
    <w:rsid w:val="008204FB"/>
    <w:rsid w:val="008210F3"/>
    <w:rsid w:val="0082116E"/>
    <w:rsid w:val="008239FA"/>
    <w:rsid w:val="00824065"/>
    <w:rsid w:val="00826473"/>
    <w:rsid w:val="008268BC"/>
    <w:rsid w:val="00826BC3"/>
    <w:rsid w:val="00827DBB"/>
    <w:rsid w:val="00831034"/>
    <w:rsid w:val="00831AF3"/>
    <w:rsid w:val="0083557B"/>
    <w:rsid w:val="00835EC6"/>
    <w:rsid w:val="008364D9"/>
    <w:rsid w:val="00841C30"/>
    <w:rsid w:val="00843878"/>
    <w:rsid w:val="008444CB"/>
    <w:rsid w:val="00844CD3"/>
    <w:rsid w:val="00846953"/>
    <w:rsid w:val="008473C0"/>
    <w:rsid w:val="008504AF"/>
    <w:rsid w:val="00850829"/>
    <w:rsid w:val="00850D12"/>
    <w:rsid w:val="00851716"/>
    <w:rsid w:val="00851E1C"/>
    <w:rsid w:val="00855703"/>
    <w:rsid w:val="008567E9"/>
    <w:rsid w:val="00861C62"/>
    <w:rsid w:val="00862A5B"/>
    <w:rsid w:val="00862F48"/>
    <w:rsid w:val="0086453B"/>
    <w:rsid w:val="00865AA2"/>
    <w:rsid w:val="00866DA3"/>
    <w:rsid w:val="008721B7"/>
    <w:rsid w:val="00873678"/>
    <w:rsid w:val="008736E6"/>
    <w:rsid w:val="00875A42"/>
    <w:rsid w:val="00875F81"/>
    <w:rsid w:val="00876ED4"/>
    <w:rsid w:val="008770EA"/>
    <w:rsid w:val="00880559"/>
    <w:rsid w:val="008810D5"/>
    <w:rsid w:val="00881A2A"/>
    <w:rsid w:val="00881FCF"/>
    <w:rsid w:val="00882E8D"/>
    <w:rsid w:val="00884AC2"/>
    <w:rsid w:val="00886966"/>
    <w:rsid w:val="0089218C"/>
    <w:rsid w:val="008924EA"/>
    <w:rsid w:val="008953E1"/>
    <w:rsid w:val="00897416"/>
    <w:rsid w:val="008A2120"/>
    <w:rsid w:val="008A28C4"/>
    <w:rsid w:val="008A431F"/>
    <w:rsid w:val="008A5AFD"/>
    <w:rsid w:val="008A5FA5"/>
    <w:rsid w:val="008A6D78"/>
    <w:rsid w:val="008A75CD"/>
    <w:rsid w:val="008B0A8F"/>
    <w:rsid w:val="008B4C00"/>
    <w:rsid w:val="008B4F46"/>
    <w:rsid w:val="008B53BF"/>
    <w:rsid w:val="008B5628"/>
    <w:rsid w:val="008B5711"/>
    <w:rsid w:val="008C113E"/>
    <w:rsid w:val="008C15B1"/>
    <w:rsid w:val="008C47CA"/>
    <w:rsid w:val="008C6296"/>
    <w:rsid w:val="008C74FC"/>
    <w:rsid w:val="008D091C"/>
    <w:rsid w:val="008D1959"/>
    <w:rsid w:val="008D3729"/>
    <w:rsid w:val="008D3853"/>
    <w:rsid w:val="008D3E22"/>
    <w:rsid w:val="008D4326"/>
    <w:rsid w:val="008D4EF1"/>
    <w:rsid w:val="008D5DDC"/>
    <w:rsid w:val="008E0648"/>
    <w:rsid w:val="008E25C5"/>
    <w:rsid w:val="008E2B87"/>
    <w:rsid w:val="008E2B92"/>
    <w:rsid w:val="008E5B29"/>
    <w:rsid w:val="008E7A75"/>
    <w:rsid w:val="008F0028"/>
    <w:rsid w:val="008F0050"/>
    <w:rsid w:val="008F0D58"/>
    <w:rsid w:val="008F160B"/>
    <w:rsid w:val="008F345B"/>
    <w:rsid w:val="008F5697"/>
    <w:rsid w:val="00900542"/>
    <w:rsid w:val="00901F68"/>
    <w:rsid w:val="00902579"/>
    <w:rsid w:val="009041C8"/>
    <w:rsid w:val="009079E6"/>
    <w:rsid w:val="00912D0C"/>
    <w:rsid w:val="00913FC6"/>
    <w:rsid w:val="00920724"/>
    <w:rsid w:val="00923486"/>
    <w:rsid w:val="0092464B"/>
    <w:rsid w:val="00925B8F"/>
    <w:rsid w:val="0092613A"/>
    <w:rsid w:val="00927854"/>
    <w:rsid w:val="00930D68"/>
    <w:rsid w:val="00931243"/>
    <w:rsid w:val="0093547F"/>
    <w:rsid w:val="00943211"/>
    <w:rsid w:val="00944891"/>
    <w:rsid w:val="0094524C"/>
    <w:rsid w:val="0094680A"/>
    <w:rsid w:val="0094685C"/>
    <w:rsid w:val="00947A5B"/>
    <w:rsid w:val="009513F9"/>
    <w:rsid w:val="00952544"/>
    <w:rsid w:val="009556AF"/>
    <w:rsid w:val="009578AD"/>
    <w:rsid w:val="00957961"/>
    <w:rsid w:val="00960784"/>
    <w:rsid w:val="00961C1A"/>
    <w:rsid w:val="0096283A"/>
    <w:rsid w:val="0096370D"/>
    <w:rsid w:val="009638C5"/>
    <w:rsid w:val="00965820"/>
    <w:rsid w:val="00970113"/>
    <w:rsid w:val="009705E8"/>
    <w:rsid w:val="00972B24"/>
    <w:rsid w:val="0097356C"/>
    <w:rsid w:val="00973DEF"/>
    <w:rsid w:val="009769C3"/>
    <w:rsid w:val="00977655"/>
    <w:rsid w:val="00980461"/>
    <w:rsid w:val="009807F0"/>
    <w:rsid w:val="00983BC8"/>
    <w:rsid w:val="00985578"/>
    <w:rsid w:val="00985AF0"/>
    <w:rsid w:val="009860D7"/>
    <w:rsid w:val="00986C4E"/>
    <w:rsid w:val="00987CE6"/>
    <w:rsid w:val="00992611"/>
    <w:rsid w:val="0099310C"/>
    <w:rsid w:val="00994F34"/>
    <w:rsid w:val="00995037"/>
    <w:rsid w:val="00995660"/>
    <w:rsid w:val="009A424B"/>
    <w:rsid w:val="009A4682"/>
    <w:rsid w:val="009A47AA"/>
    <w:rsid w:val="009A4F1F"/>
    <w:rsid w:val="009B08C5"/>
    <w:rsid w:val="009B0BF8"/>
    <w:rsid w:val="009B0E3F"/>
    <w:rsid w:val="009B12D3"/>
    <w:rsid w:val="009B1690"/>
    <w:rsid w:val="009B2438"/>
    <w:rsid w:val="009B3064"/>
    <w:rsid w:val="009B31F6"/>
    <w:rsid w:val="009B33B8"/>
    <w:rsid w:val="009B355F"/>
    <w:rsid w:val="009B6F9F"/>
    <w:rsid w:val="009C22BC"/>
    <w:rsid w:val="009C2858"/>
    <w:rsid w:val="009C2E4F"/>
    <w:rsid w:val="009C30E3"/>
    <w:rsid w:val="009C3E48"/>
    <w:rsid w:val="009C5863"/>
    <w:rsid w:val="009C5DC2"/>
    <w:rsid w:val="009C6A28"/>
    <w:rsid w:val="009D08A4"/>
    <w:rsid w:val="009D0F55"/>
    <w:rsid w:val="009D3A45"/>
    <w:rsid w:val="009D67A7"/>
    <w:rsid w:val="009D6DA3"/>
    <w:rsid w:val="009E4A5E"/>
    <w:rsid w:val="009E54DB"/>
    <w:rsid w:val="009E5DC9"/>
    <w:rsid w:val="009E7C33"/>
    <w:rsid w:val="009F10FD"/>
    <w:rsid w:val="009F2C40"/>
    <w:rsid w:val="009F3B98"/>
    <w:rsid w:val="009F410E"/>
    <w:rsid w:val="009F4E1C"/>
    <w:rsid w:val="009F52E0"/>
    <w:rsid w:val="009F6652"/>
    <w:rsid w:val="009F6F90"/>
    <w:rsid w:val="009F6FFB"/>
    <w:rsid w:val="00A02AA9"/>
    <w:rsid w:val="00A03CC1"/>
    <w:rsid w:val="00A0444B"/>
    <w:rsid w:val="00A064FA"/>
    <w:rsid w:val="00A069F9"/>
    <w:rsid w:val="00A07E9D"/>
    <w:rsid w:val="00A11191"/>
    <w:rsid w:val="00A13248"/>
    <w:rsid w:val="00A144FB"/>
    <w:rsid w:val="00A14EAA"/>
    <w:rsid w:val="00A15C62"/>
    <w:rsid w:val="00A15FC8"/>
    <w:rsid w:val="00A16864"/>
    <w:rsid w:val="00A1718E"/>
    <w:rsid w:val="00A17D03"/>
    <w:rsid w:val="00A210E5"/>
    <w:rsid w:val="00A2224C"/>
    <w:rsid w:val="00A241E0"/>
    <w:rsid w:val="00A24A93"/>
    <w:rsid w:val="00A25565"/>
    <w:rsid w:val="00A313B7"/>
    <w:rsid w:val="00A320F4"/>
    <w:rsid w:val="00A348C3"/>
    <w:rsid w:val="00A34B38"/>
    <w:rsid w:val="00A34F90"/>
    <w:rsid w:val="00A35985"/>
    <w:rsid w:val="00A364B2"/>
    <w:rsid w:val="00A36AA8"/>
    <w:rsid w:val="00A374C2"/>
    <w:rsid w:val="00A378FF"/>
    <w:rsid w:val="00A439A3"/>
    <w:rsid w:val="00A43D95"/>
    <w:rsid w:val="00A45A76"/>
    <w:rsid w:val="00A45F30"/>
    <w:rsid w:val="00A4654B"/>
    <w:rsid w:val="00A475C8"/>
    <w:rsid w:val="00A478EF"/>
    <w:rsid w:val="00A50DC8"/>
    <w:rsid w:val="00A53B0F"/>
    <w:rsid w:val="00A53D7F"/>
    <w:rsid w:val="00A551EC"/>
    <w:rsid w:val="00A579B0"/>
    <w:rsid w:val="00A60603"/>
    <w:rsid w:val="00A60B1D"/>
    <w:rsid w:val="00A61CC7"/>
    <w:rsid w:val="00A62151"/>
    <w:rsid w:val="00A64F39"/>
    <w:rsid w:val="00A66376"/>
    <w:rsid w:val="00A66C24"/>
    <w:rsid w:val="00A672E3"/>
    <w:rsid w:val="00A675D5"/>
    <w:rsid w:val="00A67782"/>
    <w:rsid w:val="00A677EF"/>
    <w:rsid w:val="00A67DC0"/>
    <w:rsid w:val="00A71A34"/>
    <w:rsid w:val="00A72949"/>
    <w:rsid w:val="00A72EAF"/>
    <w:rsid w:val="00A74586"/>
    <w:rsid w:val="00A74686"/>
    <w:rsid w:val="00A74A99"/>
    <w:rsid w:val="00A7517B"/>
    <w:rsid w:val="00A753C8"/>
    <w:rsid w:val="00A80859"/>
    <w:rsid w:val="00A80D97"/>
    <w:rsid w:val="00A82045"/>
    <w:rsid w:val="00A82210"/>
    <w:rsid w:val="00A830B3"/>
    <w:rsid w:val="00A83928"/>
    <w:rsid w:val="00A83BB3"/>
    <w:rsid w:val="00A83C17"/>
    <w:rsid w:val="00A85263"/>
    <w:rsid w:val="00A8641D"/>
    <w:rsid w:val="00A869EC"/>
    <w:rsid w:val="00A90D4F"/>
    <w:rsid w:val="00A91C0F"/>
    <w:rsid w:val="00A9392E"/>
    <w:rsid w:val="00A94C58"/>
    <w:rsid w:val="00A95239"/>
    <w:rsid w:val="00A9593E"/>
    <w:rsid w:val="00A971AF"/>
    <w:rsid w:val="00A974E2"/>
    <w:rsid w:val="00A97A8D"/>
    <w:rsid w:val="00AA0FAF"/>
    <w:rsid w:val="00AA1DCF"/>
    <w:rsid w:val="00AA20AE"/>
    <w:rsid w:val="00AA2DA0"/>
    <w:rsid w:val="00AA384D"/>
    <w:rsid w:val="00AA484B"/>
    <w:rsid w:val="00AA4BE0"/>
    <w:rsid w:val="00AA4C35"/>
    <w:rsid w:val="00AA511E"/>
    <w:rsid w:val="00AA5DF0"/>
    <w:rsid w:val="00AA6AC4"/>
    <w:rsid w:val="00AA7D47"/>
    <w:rsid w:val="00AA7DB6"/>
    <w:rsid w:val="00AB0547"/>
    <w:rsid w:val="00AB05D5"/>
    <w:rsid w:val="00AB1145"/>
    <w:rsid w:val="00AB137C"/>
    <w:rsid w:val="00AB1581"/>
    <w:rsid w:val="00AB172D"/>
    <w:rsid w:val="00AB264D"/>
    <w:rsid w:val="00AB3C37"/>
    <w:rsid w:val="00AB62CF"/>
    <w:rsid w:val="00AB6FC3"/>
    <w:rsid w:val="00AC0E18"/>
    <w:rsid w:val="00AC104D"/>
    <w:rsid w:val="00AC15FC"/>
    <w:rsid w:val="00AC1E55"/>
    <w:rsid w:val="00AC4189"/>
    <w:rsid w:val="00AC4A21"/>
    <w:rsid w:val="00AC5458"/>
    <w:rsid w:val="00AC57F2"/>
    <w:rsid w:val="00AC6DF8"/>
    <w:rsid w:val="00AD0851"/>
    <w:rsid w:val="00AD191F"/>
    <w:rsid w:val="00AD25E6"/>
    <w:rsid w:val="00AD3381"/>
    <w:rsid w:val="00AD47FC"/>
    <w:rsid w:val="00AD4AA9"/>
    <w:rsid w:val="00AD53CE"/>
    <w:rsid w:val="00AD5A66"/>
    <w:rsid w:val="00AD5B38"/>
    <w:rsid w:val="00AD6512"/>
    <w:rsid w:val="00AD7E71"/>
    <w:rsid w:val="00AE07FA"/>
    <w:rsid w:val="00AE094D"/>
    <w:rsid w:val="00AE0D84"/>
    <w:rsid w:val="00AE1A30"/>
    <w:rsid w:val="00AE2FD0"/>
    <w:rsid w:val="00AE4221"/>
    <w:rsid w:val="00AE79F6"/>
    <w:rsid w:val="00AF0589"/>
    <w:rsid w:val="00AF1005"/>
    <w:rsid w:val="00AF5620"/>
    <w:rsid w:val="00AF71AA"/>
    <w:rsid w:val="00AF759C"/>
    <w:rsid w:val="00AF76AE"/>
    <w:rsid w:val="00AF7AF8"/>
    <w:rsid w:val="00B00108"/>
    <w:rsid w:val="00B00E72"/>
    <w:rsid w:val="00B01E81"/>
    <w:rsid w:val="00B02588"/>
    <w:rsid w:val="00B025C1"/>
    <w:rsid w:val="00B02F27"/>
    <w:rsid w:val="00B0401F"/>
    <w:rsid w:val="00B04CF9"/>
    <w:rsid w:val="00B063B2"/>
    <w:rsid w:val="00B068B1"/>
    <w:rsid w:val="00B068E2"/>
    <w:rsid w:val="00B1155A"/>
    <w:rsid w:val="00B13EBE"/>
    <w:rsid w:val="00B14AE2"/>
    <w:rsid w:val="00B208E6"/>
    <w:rsid w:val="00B22F17"/>
    <w:rsid w:val="00B235A9"/>
    <w:rsid w:val="00B249DB"/>
    <w:rsid w:val="00B2516C"/>
    <w:rsid w:val="00B27E2B"/>
    <w:rsid w:val="00B30103"/>
    <w:rsid w:val="00B30987"/>
    <w:rsid w:val="00B32EB2"/>
    <w:rsid w:val="00B3312A"/>
    <w:rsid w:val="00B33FA4"/>
    <w:rsid w:val="00B35440"/>
    <w:rsid w:val="00B35B06"/>
    <w:rsid w:val="00B3676D"/>
    <w:rsid w:val="00B40E19"/>
    <w:rsid w:val="00B424A4"/>
    <w:rsid w:val="00B42B64"/>
    <w:rsid w:val="00B45A1B"/>
    <w:rsid w:val="00B47979"/>
    <w:rsid w:val="00B50ECE"/>
    <w:rsid w:val="00B50F6E"/>
    <w:rsid w:val="00B5317C"/>
    <w:rsid w:val="00B53D4F"/>
    <w:rsid w:val="00B540E6"/>
    <w:rsid w:val="00B542BF"/>
    <w:rsid w:val="00B5532B"/>
    <w:rsid w:val="00B55541"/>
    <w:rsid w:val="00B55B6C"/>
    <w:rsid w:val="00B55D65"/>
    <w:rsid w:val="00B6079B"/>
    <w:rsid w:val="00B60B1B"/>
    <w:rsid w:val="00B61886"/>
    <w:rsid w:val="00B627A3"/>
    <w:rsid w:val="00B62955"/>
    <w:rsid w:val="00B65C30"/>
    <w:rsid w:val="00B66E19"/>
    <w:rsid w:val="00B67395"/>
    <w:rsid w:val="00B7202C"/>
    <w:rsid w:val="00B72FDD"/>
    <w:rsid w:val="00B733A8"/>
    <w:rsid w:val="00B76E3B"/>
    <w:rsid w:val="00B80252"/>
    <w:rsid w:val="00B834F7"/>
    <w:rsid w:val="00B83E7D"/>
    <w:rsid w:val="00B855FD"/>
    <w:rsid w:val="00B925EA"/>
    <w:rsid w:val="00B9279A"/>
    <w:rsid w:val="00B96AB8"/>
    <w:rsid w:val="00B972F6"/>
    <w:rsid w:val="00B976C5"/>
    <w:rsid w:val="00B97CB0"/>
    <w:rsid w:val="00BA09BB"/>
    <w:rsid w:val="00BA2080"/>
    <w:rsid w:val="00BA3D98"/>
    <w:rsid w:val="00BA4468"/>
    <w:rsid w:val="00BA6DCF"/>
    <w:rsid w:val="00BA7E16"/>
    <w:rsid w:val="00BB04B2"/>
    <w:rsid w:val="00BB4597"/>
    <w:rsid w:val="00BB4967"/>
    <w:rsid w:val="00BC014F"/>
    <w:rsid w:val="00BC0413"/>
    <w:rsid w:val="00BC0695"/>
    <w:rsid w:val="00BC07A0"/>
    <w:rsid w:val="00BC12A1"/>
    <w:rsid w:val="00BC19A9"/>
    <w:rsid w:val="00BC1AE4"/>
    <w:rsid w:val="00BC266F"/>
    <w:rsid w:val="00BC42A3"/>
    <w:rsid w:val="00BC45F3"/>
    <w:rsid w:val="00BC479F"/>
    <w:rsid w:val="00BC5708"/>
    <w:rsid w:val="00BC75FC"/>
    <w:rsid w:val="00BD2A8F"/>
    <w:rsid w:val="00BD4BF4"/>
    <w:rsid w:val="00BD5193"/>
    <w:rsid w:val="00BD63BA"/>
    <w:rsid w:val="00BD709B"/>
    <w:rsid w:val="00BE03F7"/>
    <w:rsid w:val="00BE0622"/>
    <w:rsid w:val="00BE08F3"/>
    <w:rsid w:val="00BE0982"/>
    <w:rsid w:val="00BE0A2B"/>
    <w:rsid w:val="00BE27B6"/>
    <w:rsid w:val="00BE4B8C"/>
    <w:rsid w:val="00BE6D80"/>
    <w:rsid w:val="00BF2C52"/>
    <w:rsid w:val="00BF2DB2"/>
    <w:rsid w:val="00BF674E"/>
    <w:rsid w:val="00C000CB"/>
    <w:rsid w:val="00C019B2"/>
    <w:rsid w:val="00C020C0"/>
    <w:rsid w:val="00C023FD"/>
    <w:rsid w:val="00C03012"/>
    <w:rsid w:val="00C03DBF"/>
    <w:rsid w:val="00C04175"/>
    <w:rsid w:val="00C056C2"/>
    <w:rsid w:val="00C059B6"/>
    <w:rsid w:val="00C10676"/>
    <w:rsid w:val="00C10BC5"/>
    <w:rsid w:val="00C11145"/>
    <w:rsid w:val="00C11428"/>
    <w:rsid w:val="00C16733"/>
    <w:rsid w:val="00C21AE0"/>
    <w:rsid w:val="00C228C3"/>
    <w:rsid w:val="00C22F59"/>
    <w:rsid w:val="00C23BFD"/>
    <w:rsid w:val="00C244E8"/>
    <w:rsid w:val="00C24BA6"/>
    <w:rsid w:val="00C24C39"/>
    <w:rsid w:val="00C26CEC"/>
    <w:rsid w:val="00C27F1F"/>
    <w:rsid w:val="00C31936"/>
    <w:rsid w:val="00C322FF"/>
    <w:rsid w:val="00C32DED"/>
    <w:rsid w:val="00C3402B"/>
    <w:rsid w:val="00C347AE"/>
    <w:rsid w:val="00C34B9E"/>
    <w:rsid w:val="00C34D93"/>
    <w:rsid w:val="00C35967"/>
    <w:rsid w:val="00C364A9"/>
    <w:rsid w:val="00C36D13"/>
    <w:rsid w:val="00C36FA4"/>
    <w:rsid w:val="00C375EB"/>
    <w:rsid w:val="00C42853"/>
    <w:rsid w:val="00C429E2"/>
    <w:rsid w:val="00C42B7A"/>
    <w:rsid w:val="00C42FC2"/>
    <w:rsid w:val="00C436A6"/>
    <w:rsid w:val="00C43FA2"/>
    <w:rsid w:val="00C50DA5"/>
    <w:rsid w:val="00C52110"/>
    <w:rsid w:val="00C52B58"/>
    <w:rsid w:val="00C5467E"/>
    <w:rsid w:val="00C54FBC"/>
    <w:rsid w:val="00C5729E"/>
    <w:rsid w:val="00C62862"/>
    <w:rsid w:val="00C62892"/>
    <w:rsid w:val="00C650A2"/>
    <w:rsid w:val="00C6564C"/>
    <w:rsid w:val="00C65B2C"/>
    <w:rsid w:val="00C664A7"/>
    <w:rsid w:val="00C66D64"/>
    <w:rsid w:val="00C67043"/>
    <w:rsid w:val="00C675DC"/>
    <w:rsid w:val="00C71869"/>
    <w:rsid w:val="00C71CC7"/>
    <w:rsid w:val="00C71D51"/>
    <w:rsid w:val="00C72EA5"/>
    <w:rsid w:val="00C74F4D"/>
    <w:rsid w:val="00C75A9E"/>
    <w:rsid w:val="00C76830"/>
    <w:rsid w:val="00C76E05"/>
    <w:rsid w:val="00C80F10"/>
    <w:rsid w:val="00C81CAE"/>
    <w:rsid w:val="00C83DF3"/>
    <w:rsid w:val="00C84653"/>
    <w:rsid w:val="00C84D51"/>
    <w:rsid w:val="00C864F6"/>
    <w:rsid w:val="00C87841"/>
    <w:rsid w:val="00C87945"/>
    <w:rsid w:val="00C904A1"/>
    <w:rsid w:val="00C9182F"/>
    <w:rsid w:val="00C92BCC"/>
    <w:rsid w:val="00C93BD2"/>
    <w:rsid w:val="00C94A32"/>
    <w:rsid w:val="00C952A8"/>
    <w:rsid w:val="00C97310"/>
    <w:rsid w:val="00CA1E9F"/>
    <w:rsid w:val="00CA269E"/>
    <w:rsid w:val="00CA2DC9"/>
    <w:rsid w:val="00CA3EE6"/>
    <w:rsid w:val="00CA5F2C"/>
    <w:rsid w:val="00CA6D79"/>
    <w:rsid w:val="00CB0294"/>
    <w:rsid w:val="00CB0D90"/>
    <w:rsid w:val="00CB3EAD"/>
    <w:rsid w:val="00CC0E77"/>
    <w:rsid w:val="00CC24E7"/>
    <w:rsid w:val="00CC2C0D"/>
    <w:rsid w:val="00CC3022"/>
    <w:rsid w:val="00CC5FE3"/>
    <w:rsid w:val="00CC624F"/>
    <w:rsid w:val="00CC728E"/>
    <w:rsid w:val="00CD3D2A"/>
    <w:rsid w:val="00CD4D6A"/>
    <w:rsid w:val="00CD6657"/>
    <w:rsid w:val="00CD7BD6"/>
    <w:rsid w:val="00CE2380"/>
    <w:rsid w:val="00CE3343"/>
    <w:rsid w:val="00CE60B6"/>
    <w:rsid w:val="00CE7561"/>
    <w:rsid w:val="00CE767A"/>
    <w:rsid w:val="00CE7CEF"/>
    <w:rsid w:val="00CF0673"/>
    <w:rsid w:val="00CF3691"/>
    <w:rsid w:val="00CF4AE5"/>
    <w:rsid w:val="00CF6298"/>
    <w:rsid w:val="00CF6333"/>
    <w:rsid w:val="00CF6B64"/>
    <w:rsid w:val="00CF76F4"/>
    <w:rsid w:val="00CF799C"/>
    <w:rsid w:val="00D020FE"/>
    <w:rsid w:val="00D0604C"/>
    <w:rsid w:val="00D06D80"/>
    <w:rsid w:val="00D0775A"/>
    <w:rsid w:val="00D1143F"/>
    <w:rsid w:val="00D12BF6"/>
    <w:rsid w:val="00D1426E"/>
    <w:rsid w:val="00D14454"/>
    <w:rsid w:val="00D14C44"/>
    <w:rsid w:val="00D16597"/>
    <w:rsid w:val="00D16F91"/>
    <w:rsid w:val="00D1731C"/>
    <w:rsid w:val="00D20647"/>
    <w:rsid w:val="00D20697"/>
    <w:rsid w:val="00D20B81"/>
    <w:rsid w:val="00D20CC9"/>
    <w:rsid w:val="00D2207A"/>
    <w:rsid w:val="00D23D6F"/>
    <w:rsid w:val="00D2430B"/>
    <w:rsid w:val="00D272F0"/>
    <w:rsid w:val="00D301E0"/>
    <w:rsid w:val="00D308DC"/>
    <w:rsid w:val="00D30BAF"/>
    <w:rsid w:val="00D341A1"/>
    <w:rsid w:val="00D3462F"/>
    <w:rsid w:val="00D34922"/>
    <w:rsid w:val="00D34BEB"/>
    <w:rsid w:val="00D35DD4"/>
    <w:rsid w:val="00D40059"/>
    <w:rsid w:val="00D402F0"/>
    <w:rsid w:val="00D43618"/>
    <w:rsid w:val="00D43A74"/>
    <w:rsid w:val="00D4435B"/>
    <w:rsid w:val="00D505DC"/>
    <w:rsid w:val="00D53510"/>
    <w:rsid w:val="00D56C4E"/>
    <w:rsid w:val="00D56D60"/>
    <w:rsid w:val="00D574BD"/>
    <w:rsid w:val="00D600B9"/>
    <w:rsid w:val="00D60772"/>
    <w:rsid w:val="00D616A4"/>
    <w:rsid w:val="00D62053"/>
    <w:rsid w:val="00D627BE"/>
    <w:rsid w:val="00D62CDC"/>
    <w:rsid w:val="00D62F12"/>
    <w:rsid w:val="00D65F55"/>
    <w:rsid w:val="00D671AA"/>
    <w:rsid w:val="00D67468"/>
    <w:rsid w:val="00D674D2"/>
    <w:rsid w:val="00D67673"/>
    <w:rsid w:val="00D678D3"/>
    <w:rsid w:val="00D70056"/>
    <w:rsid w:val="00D70A01"/>
    <w:rsid w:val="00D70C04"/>
    <w:rsid w:val="00D74B83"/>
    <w:rsid w:val="00D75AD2"/>
    <w:rsid w:val="00D75E3D"/>
    <w:rsid w:val="00D768E2"/>
    <w:rsid w:val="00D83275"/>
    <w:rsid w:val="00D83A6E"/>
    <w:rsid w:val="00D84EDC"/>
    <w:rsid w:val="00D858B2"/>
    <w:rsid w:val="00D85998"/>
    <w:rsid w:val="00D8663C"/>
    <w:rsid w:val="00D866D0"/>
    <w:rsid w:val="00D87167"/>
    <w:rsid w:val="00D87409"/>
    <w:rsid w:val="00D87682"/>
    <w:rsid w:val="00D90006"/>
    <w:rsid w:val="00D907B1"/>
    <w:rsid w:val="00D90E0C"/>
    <w:rsid w:val="00D927B0"/>
    <w:rsid w:val="00D937BC"/>
    <w:rsid w:val="00D93F65"/>
    <w:rsid w:val="00D9661D"/>
    <w:rsid w:val="00DA0563"/>
    <w:rsid w:val="00DA3279"/>
    <w:rsid w:val="00DA3B5A"/>
    <w:rsid w:val="00DA4E5A"/>
    <w:rsid w:val="00DA543C"/>
    <w:rsid w:val="00DB0BD1"/>
    <w:rsid w:val="00DB179E"/>
    <w:rsid w:val="00DB3623"/>
    <w:rsid w:val="00DB4A63"/>
    <w:rsid w:val="00DB55AC"/>
    <w:rsid w:val="00DB5749"/>
    <w:rsid w:val="00DC1C0C"/>
    <w:rsid w:val="00DC25F9"/>
    <w:rsid w:val="00DC3D86"/>
    <w:rsid w:val="00DC4B33"/>
    <w:rsid w:val="00DC56C6"/>
    <w:rsid w:val="00DC657C"/>
    <w:rsid w:val="00DC6A6A"/>
    <w:rsid w:val="00DC79A1"/>
    <w:rsid w:val="00DC7DA4"/>
    <w:rsid w:val="00DD077C"/>
    <w:rsid w:val="00DD0CD7"/>
    <w:rsid w:val="00DD12F8"/>
    <w:rsid w:val="00DD3F49"/>
    <w:rsid w:val="00DD5439"/>
    <w:rsid w:val="00DD5ADF"/>
    <w:rsid w:val="00DD5E3C"/>
    <w:rsid w:val="00DE1A4A"/>
    <w:rsid w:val="00DE1AAC"/>
    <w:rsid w:val="00DE2AC1"/>
    <w:rsid w:val="00DE3AEC"/>
    <w:rsid w:val="00DE3FE0"/>
    <w:rsid w:val="00DE400A"/>
    <w:rsid w:val="00DE47D9"/>
    <w:rsid w:val="00DE48BE"/>
    <w:rsid w:val="00DE66D5"/>
    <w:rsid w:val="00DE6CD6"/>
    <w:rsid w:val="00DF0376"/>
    <w:rsid w:val="00DF04A5"/>
    <w:rsid w:val="00DF1FD4"/>
    <w:rsid w:val="00DF3C25"/>
    <w:rsid w:val="00DF410E"/>
    <w:rsid w:val="00DF4771"/>
    <w:rsid w:val="00DF47F1"/>
    <w:rsid w:val="00DF5C3A"/>
    <w:rsid w:val="00E04852"/>
    <w:rsid w:val="00E04C46"/>
    <w:rsid w:val="00E057AD"/>
    <w:rsid w:val="00E0636E"/>
    <w:rsid w:val="00E114BB"/>
    <w:rsid w:val="00E122B3"/>
    <w:rsid w:val="00E1340A"/>
    <w:rsid w:val="00E13501"/>
    <w:rsid w:val="00E14DD5"/>
    <w:rsid w:val="00E14F59"/>
    <w:rsid w:val="00E179F8"/>
    <w:rsid w:val="00E21B13"/>
    <w:rsid w:val="00E21B5C"/>
    <w:rsid w:val="00E232A8"/>
    <w:rsid w:val="00E236CE"/>
    <w:rsid w:val="00E24F74"/>
    <w:rsid w:val="00E24FC0"/>
    <w:rsid w:val="00E26351"/>
    <w:rsid w:val="00E264D8"/>
    <w:rsid w:val="00E276AB"/>
    <w:rsid w:val="00E300DB"/>
    <w:rsid w:val="00E30A93"/>
    <w:rsid w:val="00E32F3D"/>
    <w:rsid w:val="00E355B3"/>
    <w:rsid w:val="00E36190"/>
    <w:rsid w:val="00E37BD9"/>
    <w:rsid w:val="00E41183"/>
    <w:rsid w:val="00E41A55"/>
    <w:rsid w:val="00E4343B"/>
    <w:rsid w:val="00E45981"/>
    <w:rsid w:val="00E47293"/>
    <w:rsid w:val="00E5064D"/>
    <w:rsid w:val="00E506FC"/>
    <w:rsid w:val="00E5153C"/>
    <w:rsid w:val="00E515B2"/>
    <w:rsid w:val="00E51A3D"/>
    <w:rsid w:val="00E5343A"/>
    <w:rsid w:val="00E54A8B"/>
    <w:rsid w:val="00E552F3"/>
    <w:rsid w:val="00E558A0"/>
    <w:rsid w:val="00E55CB1"/>
    <w:rsid w:val="00E5615F"/>
    <w:rsid w:val="00E5778D"/>
    <w:rsid w:val="00E60CF4"/>
    <w:rsid w:val="00E62099"/>
    <w:rsid w:val="00E62C77"/>
    <w:rsid w:val="00E63405"/>
    <w:rsid w:val="00E651C3"/>
    <w:rsid w:val="00E73397"/>
    <w:rsid w:val="00E733CD"/>
    <w:rsid w:val="00E739C1"/>
    <w:rsid w:val="00E80251"/>
    <w:rsid w:val="00E8047F"/>
    <w:rsid w:val="00E81CED"/>
    <w:rsid w:val="00E8354E"/>
    <w:rsid w:val="00E8423E"/>
    <w:rsid w:val="00E85C6C"/>
    <w:rsid w:val="00E8732D"/>
    <w:rsid w:val="00E9273C"/>
    <w:rsid w:val="00E94575"/>
    <w:rsid w:val="00E951E5"/>
    <w:rsid w:val="00E952CB"/>
    <w:rsid w:val="00E96A59"/>
    <w:rsid w:val="00E96D45"/>
    <w:rsid w:val="00EA191A"/>
    <w:rsid w:val="00EA1E36"/>
    <w:rsid w:val="00EA2E6B"/>
    <w:rsid w:val="00EA5990"/>
    <w:rsid w:val="00EA59D3"/>
    <w:rsid w:val="00EA6571"/>
    <w:rsid w:val="00EA6F5E"/>
    <w:rsid w:val="00EA7C50"/>
    <w:rsid w:val="00EA7C60"/>
    <w:rsid w:val="00EB0089"/>
    <w:rsid w:val="00EB077D"/>
    <w:rsid w:val="00EB0CD3"/>
    <w:rsid w:val="00EB296D"/>
    <w:rsid w:val="00EB568F"/>
    <w:rsid w:val="00EB5A41"/>
    <w:rsid w:val="00EB698B"/>
    <w:rsid w:val="00EB6F4A"/>
    <w:rsid w:val="00EC0308"/>
    <w:rsid w:val="00EC0477"/>
    <w:rsid w:val="00EC09DE"/>
    <w:rsid w:val="00EC315A"/>
    <w:rsid w:val="00EC5B64"/>
    <w:rsid w:val="00EC7EEC"/>
    <w:rsid w:val="00ED01E8"/>
    <w:rsid w:val="00ED0C6F"/>
    <w:rsid w:val="00ED32A7"/>
    <w:rsid w:val="00ED41A8"/>
    <w:rsid w:val="00ED4CCC"/>
    <w:rsid w:val="00ED513D"/>
    <w:rsid w:val="00ED63AF"/>
    <w:rsid w:val="00ED7E9E"/>
    <w:rsid w:val="00EE0F1F"/>
    <w:rsid w:val="00EE13D9"/>
    <w:rsid w:val="00EE1C91"/>
    <w:rsid w:val="00EE2598"/>
    <w:rsid w:val="00EE4208"/>
    <w:rsid w:val="00EE4DE1"/>
    <w:rsid w:val="00EE52D6"/>
    <w:rsid w:val="00EE6201"/>
    <w:rsid w:val="00EF3529"/>
    <w:rsid w:val="00EF357A"/>
    <w:rsid w:val="00EF3AB7"/>
    <w:rsid w:val="00EF4C2B"/>
    <w:rsid w:val="00EF59F2"/>
    <w:rsid w:val="00EF5A01"/>
    <w:rsid w:val="00EF5DC0"/>
    <w:rsid w:val="00EF6B40"/>
    <w:rsid w:val="00EF6F69"/>
    <w:rsid w:val="00F0265E"/>
    <w:rsid w:val="00F02C4D"/>
    <w:rsid w:val="00F05006"/>
    <w:rsid w:val="00F055C0"/>
    <w:rsid w:val="00F05AC9"/>
    <w:rsid w:val="00F06946"/>
    <w:rsid w:val="00F11056"/>
    <w:rsid w:val="00F12F9D"/>
    <w:rsid w:val="00F13D7C"/>
    <w:rsid w:val="00F16669"/>
    <w:rsid w:val="00F17403"/>
    <w:rsid w:val="00F20663"/>
    <w:rsid w:val="00F21026"/>
    <w:rsid w:val="00F228D1"/>
    <w:rsid w:val="00F22AC5"/>
    <w:rsid w:val="00F263FF"/>
    <w:rsid w:val="00F30A86"/>
    <w:rsid w:val="00F30C40"/>
    <w:rsid w:val="00F325E1"/>
    <w:rsid w:val="00F346CB"/>
    <w:rsid w:val="00F34760"/>
    <w:rsid w:val="00F356CF"/>
    <w:rsid w:val="00F35C2F"/>
    <w:rsid w:val="00F36383"/>
    <w:rsid w:val="00F366A4"/>
    <w:rsid w:val="00F36C86"/>
    <w:rsid w:val="00F42435"/>
    <w:rsid w:val="00F42A47"/>
    <w:rsid w:val="00F42E31"/>
    <w:rsid w:val="00F44824"/>
    <w:rsid w:val="00F45C45"/>
    <w:rsid w:val="00F45DE3"/>
    <w:rsid w:val="00F507CF"/>
    <w:rsid w:val="00F54117"/>
    <w:rsid w:val="00F5633A"/>
    <w:rsid w:val="00F60CFD"/>
    <w:rsid w:val="00F630BB"/>
    <w:rsid w:val="00F66EE5"/>
    <w:rsid w:val="00F676A4"/>
    <w:rsid w:val="00F70C24"/>
    <w:rsid w:val="00F720BD"/>
    <w:rsid w:val="00F73643"/>
    <w:rsid w:val="00F74B3E"/>
    <w:rsid w:val="00F75968"/>
    <w:rsid w:val="00F771FF"/>
    <w:rsid w:val="00F776BD"/>
    <w:rsid w:val="00F80256"/>
    <w:rsid w:val="00F81036"/>
    <w:rsid w:val="00F815EE"/>
    <w:rsid w:val="00F877FA"/>
    <w:rsid w:val="00F8791B"/>
    <w:rsid w:val="00F87965"/>
    <w:rsid w:val="00F903E3"/>
    <w:rsid w:val="00F94154"/>
    <w:rsid w:val="00F958D4"/>
    <w:rsid w:val="00F9622D"/>
    <w:rsid w:val="00F97EEC"/>
    <w:rsid w:val="00FA01D8"/>
    <w:rsid w:val="00FA07B5"/>
    <w:rsid w:val="00FA1C8B"/>
    <w:rsid w:val="00FA3F53"/>
    <w:rsid w:val="00FA4663"/>
    <w:rsid w:val="00FA745B"/>
    <w:rsid w:val="00FB0A15"/>
    <w:rsid w:val="00FB1419"/>
    <w:rsid w:val="00FB4D03"/>
    <w:rsid w:val="00FB4DA7"/>
    <w:rsid w:val="00FB523C"/>
    <w:rsid w:val="00FB64B8"/>
    <w:rsid w:val="00FB65BC"/>
    <w:rsid w:val="00FB6AA8"/>
    <w:rsid w:val="00FC2CD0"/>
    <w:rsid w:val="00FC2FF3"/>
    <w:rsid w:val="00FD0435"/>
    <w:rsid w:val="00FD1903"/>
    <w:rsid w:val="00FD33FA"/>
    <w:rsid w:val="00FD3C2F"/>
    <w:rsid w:val="00FD42B6"/>
    <w:rsid w:val="00FD4B2D"/>
    <w:rsid w:val="00FD7325"/>
    <w:rsid w:val="00FE2A32"/>
    <w:rsid w:val="00FE6E25"/>
    <w:rsid w:val="00FF0C48"/>
    <w:rsid w:val="00FF1B72"/>
    <w:rsid w:val="00FF4325"/>
    <w:rsid w:val="00FF5E86"/>
    <w:rsid w:val="00FF6985"/>
    <w:rsid w:val="00FF6BB1"/>
    <w:rsid w:val="04F04C36"/>
    <w:rsid w:val="057D1C20"/>
    <w:rsid w:val="0A61FE49"/>
    <w:rsid w:val="0C2CE4D4"/>
    <w:rsid w:val="1482C10A"/>
    <w:rsid w:val="15164A4C"/>
    <w:rsid w:val="15617E56"/>
    <w:rsid w:val="164C5991"/>
    <w:rsid w:val="18036FF5"/>
    <w:rsid w:val="18C61B46"/>
    <w:rsid w:val="1A5AA01D"/>
    <w:rsid w:val="1A884181"/>
    <w:rsid w:val="1D854231"/>
    <w:rsid w:val="1DBE679D"/>
    <w:rsid w:val="1FD104E2"/>
    <w:rsid w:val="20D89DCE"/>
    <w:rsid w:val="242CB472"/>
    <w:rsid w:val="24D09D22"/>
    <w:rsid w:val="26233E80"/>
    <w:rsid w:val="289EA364"/>
    <w:rsid w:val="293D8346"/>
    <w:rsid w:val="29EBB47F"/>
    <w:rsid w:val="2C74FFAD"/>
    <w:rsid w:val="2D6AA8FA"/>
    <w:rsid w:val="33E8853B"/>
    <w:rsid w:val="3BCB5137"/>
    <w:rsid w:val="416CBE88"/>
    <w:rsid w:val="469E4ABC"/>
    <w:rsid w:val="4DA39E7F"/>
    <w:rsid w:val="4F05C730"/>
    <w:rsid w:val="4F670B2F"/>
    <w:rsid w:val="52E98759"/>
    <w:rsid w:val="5759C268"/>
    <w:rsid w:val="5AFD2489"/>
    <w:rsid w:val="5C164D3C"/>
    <w:rsid w:val="5C898841"/>
    <w:rsid w:val="67E1204A"/>
    <w:rsid w:val="7104AD1B"/>
    <w:rsid w:val="729C1574"/>
    <w:rsid w:val="72DBF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B6998"/>
  <w15:chartTrackingRefBased/>
  <w15:docId w15:val="{54AB10BF-FF92-4BB9-8707-D07A4D7C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93"/>
    <w:rPr>
      <w:lang w:val="en-GB"/>
    </w:rPr>
  </w:style>
  <w:style w:type="paragraph" w:styleId="Heading1">
    <w:name w:val="heading 1"/>
    <w:basedOn w:val="Normal"/>
    <w:next w:val="Normal"/>
    <w:link w:val="Heading1Char"/>
    <w:uiPriority w:val="9"/>
    <w:qFormat/>
    <w:rsid w:val="008C7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44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543C"/>
    <w:pPr>
      <w:keepNext/>
      <w:spacing w:before="240" w:after="60" w:line="240"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semiHidden/>
    <w:unhideWhenUsed/>
    <w:qFormat/>
    <w:rsid w:val="005321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729"/>
    <w:pPr>
      <w:tabs>
        <w:tab w:val="center" w:pos="4513"/>
        <w:tab w:val="right" w:pos="9026"/>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8D3729"/>
    <w:rPr>
      <w:rFonts w:ascii="Calibri" w:eastAsia="Calibri" w:hAnsi="Calibri" w:cs="Arial"/>
      <w:sz w:val="20"/>
      <w:szCs w:val="20"/>
    </w:rPr>
  </w:style>
  <w:style w:type="paragraph" w:styleId="Footer">
    <w:name w:val="footer"/>
    <w:basedOn w:val="Normal"/>
    <w:link w:val="FooterChar"/>
    <w:uiPriority w:val="99"/>
    <w:unhideWhenUsed/>
    <w:rsid w:val="008D3729"/>
    <w:pPr>
      <w:tabs>
        <w:tab w:val="center" w:pos="4513"/>
        <w:tab w:val="right" w:pos="9026"/>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8D3729"/>
    <w:rPr>
      <w:rFonts w:ascii="Calibri" w:eastAsia="Calibri" w:hAnsi="Calibri" w:cs="Arial"/>
      <w:sz w:val="20"/>
      <w:szCs w:val="20"/>
    </w:rPr>
  </w:style>
  <w:style w:type="paragraph" w:styleId="BalloonText">
    <w:name w:val="Balloon Text"/>
    <w:basedOn w:val="Normal"/>
    <w:link w:val="BalloonTextChar"/>
    <w:uiPriority w:val="99"/>
    <w:semiHidden/>
    <w:unhideWhenUsed/>
    <w:rsid w:val="008D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729"/>
    <w:rPr>
      <w:rFonts w:ascii="Segoe UI" w:hAnsi="Segoe UI" w:cs="Segoe UI"/>
      <w:sz w:val="18"/>
      <w:szCs w:val="18"/>
      <w:lang w:val="en-GB"/>
    </w:rPr>
  </w:style>
  <w:style w:type="character" w:customStyle="1" w:styleId="Heading1Char">
    <w:name w:val="Heading 1 Char"/>
    <w:basedOn w:val="DefaultParagraphFont"/>
    <w:link w:val="Heading1"/>
    <w:uiPriority w:val="9"/>
    <w:rsid w:val="008C74FC"/>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C864F6"/>
    <w:pPr>
      <w:ind w:left="720"/>
      <w:contextualSpacing/>
    </w:pPr>
  </w:style>
  <w:style w:type="character" w:customStyle="1" w:styleId="Heading4Char">
    <w:name w:val="Heading 4 Char"/>
    <w:basedOn w:val="DefaultParagraphFont"/>
    <w:link w:val="Heading4"/>
    <w:uiPriority w:val="9"/>
    <w:semiHidden/>
    <w:rsid w:val="005321FE"/>
    <w:rPr>
      <w:rFonts w:asciiTheme="majorHAnsi" w:eastAsiaTheme="majorEastAsia" w:hAnsiTheme="majorHAnsi" w:cstheme="majorBidi"/>
      <w:i/>
      <w:iCs/>
      <w:color w:val="2F5496" w:themeColor="accent1" w:themeShade="BF"/>
    </w:rPr>
  </w:style>
  <w:style w:type="paragraph" w:customStyle="1" w:styleId="Default">
    <w:name w:val="Default"/>
    <w:rsid w:val="009C6A28"/>
    <w:pPr>
      <w:autoSpaceDE w:val="0"/>
      <w:autoSpaceDN w:val="0"/>
      <w:adjustRightInd w:val="0"/>
      <w:spacing w:after="0" w:line="240" w:lineRule="auto"/>
    </w:pPr>
    <w:rPr>
      <w:rFonts w:eastAsia="Calibri" w:cs="Gill Sans MT"/>
      <w:color w:val="000000"/>
    </w:rPr>
  </w:style>
  <w:style w:type="paragraph" w:styleId="TOCHeading">
    <w:name w:val="TOC Heading"/>
    <w:basedOn w:val="Heading1"/>
    <w:next w:val="Normal"/>
    <w:uiPriority w:val="39"/>
    <w:unhideWhenUsed/>
    <w:qFormat/>
    <w:rsid w:val="00C32DED"/>
    <w:pPr>
      <w:outlineLvl w:val="9"/>
    </w:pPr>
  </w:style>
  <w:style w:type="paragraph" w:styleId="TOC1">
    <w:name w:val="toc 1"/>
    <w:basedOn w:val="Normal"/>
    <w:next w:val="Normal"/>
    <w:autoRedefine/>
    <w:uiPriority w:val="39"/>
    <w:unhideWhenUsed/>
    <w:rsid w:val="007D2C5C"/>
    <w:pPr>
      <w:tabs>
        <w:tab w:val="left" w:pos="660"/>
        <w:tab w:val="right" w:leader="dot" w:pos="9016"/>
      </w:tabs>
      <w:spacing w:after="100"/>
    </w:pPr>
    <w:rPr>
      <w:b/>
      <w:bCs/>
      <w:noProof/>
    </w:rPr>
  </w:style>
  <w:style w:type="character" w:styleId="Hyperlink">
    <w:name w:val="Hyperlink"/>
    <w:basedOn w:val="DefaultParagraphFont"/>
    <w:uiPriority w:val="99"/>
    <w:unhideWhenUsed/>
    <w:rsid w:val="00C32DED"/>
    <w:rPr>
      <w:color w:val="0563C1" w:themeColor="hyperlink"/>
      <w:u w:val="single"/>
    </w:rPr>
  </w:style>
  <w:style w:type="paragraph" w:styleId="TOC2">
    <w:name w:val="toc 2"/>
    <w:basedOn w:val="Normal"/>
    <w:next w:val="Normal"/>
    <w:autoRedefine/>
    <w:uiPriority w:val="39"/>
    <w:unhideWhenUsed/>
    <w:rsid w:val="00C71869"/>
    <w:pPr>
      <w:tabs>
        <w:tab w:val="right" w:leader="dot" w:pos="9016"/>
      </w:tabs>
      <w:spacing w:after="100"/>
      <w:ind w:left="240"/>
    </w:pPr>
    <w:rPr>
      <w:noProof/>
    </w:rPr>
  </w:style>
  <w:style w:type="paragraph" w:styleId="BodyText">
    <w:name w:val="Body Text"/>
    <w:basedOn w:val="Normal"/>
    <w:link w:val="BodyTextChar"/>
    <w:uiPriority w:val="99"/>
    <w:unhideWhenUsed/>
    <w:rsid w:val="006147E3"/>
    <w:pPr>
      <w:spacing w:after="120" w:line="240" w:lineRule="auto"/>
    </w:pPr>
    <w:rPr>
      <w:rFonts w:ascii="Garamond" w:eastAsia="Times New Roman" w:hAnsi="Garamond" w:cs="Times New Roman"/>
      <w:sz w:val="22"/>
      <w:szCs w:val="20"/>
    </w:rPr>
  </w:style>
  <w:style w:type="character" w:customStyle="1" w:styleId="BodyTextChar">
    <w:name w:val="Body Text Char"/>
    <w:basedOn w:val="DefaultParagraphFont"/>
    <w:link w:val="BodyText"/>
    <w:uiPriority w:val="99"/>
    <w:rsid w:val="006147E3"/>
    <w:rPr>
      <w:rFonts w:ascii="Garamond" w:eastAsia="Times New Roman" w:hAnsi="Garamond" w:cs="Times New Roman"/>
      <w:sz w:val="22"/>
      <w:szCs w:val="20"/>
      <w:lang w:val="en-GB"/>
    </w:rPr>
  </w:style>
  <w:style w:type="paragraph" w:styleId="Title">
    <w:name w:val="Title"/>
    <w:basedOn w:val="Normal"/>
    <w:next w:val="Subtitle"/>
    <w:link w:val="TitleChar"/>
    <w:qFormat/>
    <w:rsid w:val="006147E3"/>
    <w:pPr>
      <w:keepNext/>
      <w:keepLines/>
      <w:spacing w:before="140" w:after="0" w:line="240" w:lineRule="auto"/>
      <w:jc w:val="center"/>
    </w:pPr>
    <w:rPr>
      <w:rFonts w:ascii="Garamond" w:eastAsia="Times New Roman" w:hAnsi="Garamond" w:cs="Times New Roman"/>
      <w:caps/>
      <w:spacing w:val="60"/>
      <w:kern w:val="20"/>
      <w:sz w:val="44"/>
      <w:szCs w:val="20"/>
    </w:rPr>
  </w:style>
  <w:style w:type="character" w:customStyle="1" w:styleId="TitleChar">
    <w:name w:val="Title Char"/>
    <w:basedOn w:val="DefaultParagraphFont"/>
    <w:link w:val="Title"/>
    <w:rsid w:val="006147E3"/>
    <w:rPr>
      <w:rFonts w:ascii="Garamond" w:eastAsia="Times New Roman" w:hAnsi="Garamond" w:cs="Times New Roman"/>
      <w:caps/>
      <w:spacing w:val="60"/>
      <w:kern w:val="20"/>
      <w:sz w:val="44"/>
      <w:szCs w:val="20"/>
      <w:lang w:val="en-GB"/>
    </w:rPr>
  </w:style>
  <w:style w:type="paragraph" w:styleId="Subtitle">
    <w:name w:val="Subtitle"/>
    <w:basedOn w:val="Normal"/>
    <w:next w:val="Normal"/>
    <w:link w:val="SubtitleChar"/>
    <w:uiPriority w:val="11"/>
    <w:qFormat/>
    <w:rsid w:val="006147E3"/>
    <w:pPr>
      <w:numPr>
        <w:ilvl w:val="1"/>
      </w:numPr>
      <w:spacing w:after="0" w:line="240" w:lineRule="auto"/>
    </w:pPr>
    <w:rPr>
      <w:rFonts w:ascii="Cambria" w:eastAsia="Times New Roman" w:hAnsi="Cambria" w:cs="Times New Roman"/>
      <w:i/>
      <w:iCs/>
      <w:color w:val="4F81BD"/>
      <w:spacing w:val="15"/>
    </w:rPr>
  </w:style>
  <w:style w:type="character" w:customStyle="1" w:styleId="SubtitleChar">
    <w:name w:val="Subtitle Char"/>
    <w:basedOn w:val="DefaultParagraphFont"/>
    <w:link w:val="Subtitle"/>
    <w:uiPriority w:val="11"/>
    <w:rsid w:val="006147E3"/>
    <w:rPr>
      <w:rFonts w:ascii="Cambria" w:eastAsia="Times New Roman" w:hAnsi="Cambria" w:cs="Times New Roman"/>
      <w:i/>
      <w:iCs/>
      <w:color w:val="4F81BD"/>
      <w:spacing w:val="15"/>
      <w:lang w:val="en-GB"/>
    </w:rPr>
  </w:style>
  <w:style w:type="paragraph" w:styleId="ListNumber">
    <w:name w:val="List Number"/>
    <w:basedOn w:val="List"/>
    <w:rsid w:val="006147E3"/>
    <w:pPr>
      <w:spacing w:after="240" w:line="240" w:lineRule="atLeast"/>
      <w:ind w:left="720" w:right="720" w:hanging="36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6147E3"/>
    <w:pPr>
      <w:ind w:left="283" w:hanging="283"/>
      <w:contextualSpacing/>
    </w:pPr>
  </w:style>
  <w:style w:type="character" w:styleId="CommentReference">
    <w:name w:val="annotation reference"/>
    <w:basedOn w:val="DefaultParagraphFont"/>
    <w:uiPriority w:val="99"/>
    <w:semiHidden/>
    <w:unhideWhenUsed/>
    <w:rsid w:val="00AA4C35"/>
    <w:rPr>
      <w:sz w:val="16"/>
      <w:szCs w:val="16"/>
    </w:rPr>
  </w:style>
  <w:style w:type="paragraph" w:styleId="CommentText">
    <w:name w:val="annotation text"/>
    <w:basedOn w:val="Normal"/>
    <w:link w:val="CommentTextChar"/>
    <w:uiPriority w:val="99"/>
    <w:unhideWhenUsed/>
    <w:rsid w:val="00AA4C35"/>
    <w:pPr>
      <w:spacing w:line="240" w:lineRule="auto"/>
    </w:pPr>
    <w:rPr>
      <w:sz w:val="20"/>
      <w:szCs w:val="20"/>
    </w:rPr>
  </w:style>
  <w:style w:type="character" w:customStyle="1" w:styleId="CommentTextChar">
    <w:name w:val="Comment Text Char"/>
    <w:basedOn w:val="DefaultParagraphFont"/>
    <w:link w:val="CommentText"/>
    <w:uiPriority w:val="99"/>
    <w:rsid w:val="00AA4C35"/>
    <w:rPr>
      <w:sz w:val="20"/>
      <w:szCs w:val="20"/>
    </w:rPr>
  </w:style>
  <w:style w:type="paragraph" w:styleId="CommentSubject">
    <w:name w:val="annotation subject"/>
    <w:basedOn w:val="CommentText"/>
    <w:next w:val="CommentText"/>
    <w:link w:val="CommentSubjectChar"/>
    <w:uiPriority w:val="99"/>
    <w:semiHidden/>
    <w:unhideWhenUsed/>
    <w:rsid w:val="00AA4C35"/>
    <w:rPr>
      <w:b/>
      <w:bCs/>
    </w:rPr>
  </w:style>
  <w:style w:type="character" w:customStyle="1" w:styleId="CommentSubjectChar">
    <w:name w:val="Comment Subject Char"/>
    <w:basedOn w:val="CommentTextChar"/>
    <w:link w:val="CommentSubject"/>
    <w:uiPriority w:val="99"/>
    <w:semiHidden/>
    <w:rsid w:val="00AA4C35"/>
    <w:rPr>
      <w:b/>
      <w:bCs/>
      <w:sz w:val="20"/>
      <w:szCs w:val="20"/>
    </w:rPr>
  </w:style>
  <w:style w:type="character" w:styleId="UnresolvedMention">
    <w:name w:val="Unresolved Mention"/>
    <w:basedOn w:val="DefaultParagraphFont"/>
    <w:uiPriority w:val="99"/>
    <w:semiHidden/>
    <w:unhideWhenUsed/>
    <w:rsid w:val="00AA4C35"/>
    <w:rPr>
      <w:color w:val="605E5C"/>
      <w:shd w:val="clear" w:color="auto" w:fill="E1DFDD"/>
    </w:rPr>
  </w:style>
  <w:style w:type="character" w:customStyle="1" w:styleId="Heading3Char">
    <w:name w:val="Heading 3 Char"/>
    <w:basedOn w:val="DefaultParagraphFont"/>
    <w:link w:val="Heading3"/>
    <w:uiPriority w:val="9"/>
    <w:rsid w:val="00DA543C"/>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A0444B"/>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A0444B"/>
    <w:pPr>
      <w:spacing w:after="100"/>
      <w:ind w:left="480"/>
    </w:pPr>
  </w:style>
  <w:style w:type="paragraph" w:styleId="Revision">
    <w:name w:val="Revision"/>
    <w:hidden/>
    <w:uiPriority w:val="99"/>
    <w:semiHidden/>
    <w:rsid w:val="00EE4208"/>
    <w:pPr>
      <w:spacing w:after="0" w:line="240" w:lineRule="auto"/>
    </w:pPr>
  </w:style>
  <w:style w:type="paragraph" w:styleId="NormalWeb">
    <w:name w:val="Normal (Web)"/>
    <w:basedOn w:val="Normal"/>
    <w:uiPriority w:val="99"/>
    <w:unhideWhenUsed/>
    <w:rsid w:val="0072193D"/>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621FB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brims.bomra.co.bw/" TargetMode="External"/><Relationship Id="rId3" Type="http://schemas.openxmlformats.org/officeDocument/2006/relationships/customXml" Target="../customXml/item3.xml"/><Relationship Id="rId21" Type="http://schemas.openxmlformats.org/officeDocument/2006/relationships/hyperlink" Target="https://brims.bomra.co.bw/"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rims.bomra.co.b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rims.bomra.co.bw/" TargetMode="External"/><Relationship Id="rId20" Type="http://schemas.openxmlformats.org/officeDocument/2006/relationships/hyperlink" Target="https://brims.bomra.co.b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spections@bomra.co.bw"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inspections@bomra.co.b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695CDB643AB4BA4FE3A6A25D03E2C" ma:contentTypeVersion="2" ma:contentTypeDescription="Create a new document." ma:contentTypeScope="" ma:versionID="cbb0e8a5363bb15edca8ed0ce4570412">
  <xsd:schema xmlns:xsd="http://www.w3.org/2001/XMLSchema" xmlns:xs="http://www.w3.org/2001/XMLSchema" xmlns:p="http://schemas.microsoft.com/office/2006/metadata/properties" xmlns:ns3="392bea10-e057-4f9b-95b6-86d7b8373367" targetNamespace="http://schemas.microsoft.com/office/2006/metadata/properties" ma:root="true" ma:fieldsID="189996e6c8daa05def9c9573e29d9b89" ns3:_="">
    <xsd:import namespace="392bea10-e057-4f9b-95b6-86d7b83733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ea10-e057-4f9b-95b6-86d7b8373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BCF61-0C9A-4E9A-B070-8B8875352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bea10-e057-4f9b-95b6-86d7b8373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27D83-C734-4EDC-92BB-7E7F9F922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D0B6C-7C37-42E7-933E-DE9AB4114398}">
  <ds:schemaRefs>
    <ds:schemaRef ds:uri="http://schemas.openxmlformats.org/officeDocument/2006/bibliography"/>
  </ds:schemaRefs>
</ds:datastoreItem>
</file>

<file path=customXml/itemProps4.xml><?xml version="1.0" encoding="utf-8"?>
<ds:datastoreItem xmlns:ds="http://schemas.openxmlformats.org/officeDocument/2006/customXml" ds:itemID="{5B7A4503-9F2A-4237-B35A-7BFFFED2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6003</Words>
  <Characters>34760</Characters>
  <Application>Microsoft Office Word</Application>
  <DocSecurity>0</DocSecurity>
  <Lines>739</Lines>
  <Paragraphs>415</Paragraphs>
  <ScaleCrop>false</ScaleCrop>
  <Company/>
  <LinksUpToDate>false</LinksUpToDate>
  <CharactersWithSpaces>40348</CharactersWithSpaces>
  <SharedDoc>false</SharedDoc>
  <HLinks>
    <vt:vector size="174" baseType="variant">
      <vt:variant>
        <vt:i4>3211372</vt:i4>
      </vt:variant>
      <vt:variant>
        <vt:i4>153</vt:i4>
      </vt:variant>
      <vt:variant>
        <vt:i4>0</vt:i4>
      </vt:variant>
      <vt:variant>
        <vt:i4>5</vt:i4>
      </vt:variant>
      <vt:variant>
        <vt:lpwstr>https://brims.bomra.co.bw/</vt:lpwstr>
      </vt:variant>
      <vt:variant>
        <vt:lpwstr/>
      </vt:variant>
      <vt:variant>
        <vt:i4>3211372</vt:i4>
      </vt:variant>
      <vt:variant>
        <vt:i4>150</vt:i4>
      </vt:variant>
      <vt:variant>
        <vt:i4>0</vt:i4>
      </vt:variant>
      <vt:variant>
        <vt:i4>5</vt:i4>
      </vt:variant>
      <vt:variant>
        <vt:lpwstr>https://brims.bomra.co.bw/</vt:lpwstr>
      </vt:variant>
      <vt:variant>
        <vt:lpwstr/>
      </vt:variant>
      <vt:variant>
        <vt:i4>2162766</vt:i4>
      </vt:variant>
      <vt:variant>
        <vt:i4>147</vt:i4>
      </vt:variant>
      <vt:variant>
        <vt:i4>0</vt:i4>
      </vt:variant>
      <vt:variant>
        <vt:i4>5</vt:i4>
      </vt:variant>
      <vt:variant>
        <vt:lpwstr>mailto:inspections@bomra.co.bw</vt:lpwstr>
      </vt:variant>
      <vt:variant>
        <vt:lpwstr/>
      </vt:variant>
      <vt:variant>
        <vt:i4>3211372</vt:i4>
      </vt:variant>
      <vt:variant>
        <vt:i4>144</vt:i4>
      </vt:variant>
      <vt:variant>
        <vt:i4>0</vt:i4>
      </vt:variant>
      <vt:variant>
        <vt:i4>5</vt:i4>
      </vt:variant>
      <vt:variant>
        <vt:lpwstr>https://brims.bomra.co.bw/</vt:lpwstr>
      </vt:variant>
      <vt:variant>
        <vt:lpwstr/>
      </vt:variant>
      <vt:variant>
        <vt:i4>3211372</vt:i4>
      </vt:variant>
      <vt:variant>
        <vt:i4>141</vt:i4>
      </vt:variant>
      <vt:variant>
        <vt:i4>0</vt:i4>
      </vt:variant>
      <vt:variant>
        <vt:i4>5</vt:i4>
      </vt:variant>
      <vt:variant>
        <vt:lpwstr>https://brims.bomra.co.bw/</vt:lpwstr>
      </vt:variant>
      <vt:variant>
        <vt:lpwstr/>
      </vt:variant>
      <vt:variant>
        <vt:i4>3211372</vt:i4>
      </vt:variant>
      <vt:variant>
        <vt:i4>138</vt:i4>
      </vt:variant>
      <vt:variant>
        <vt:i4>0</vt:i4>
      </vt:variant>
      <vt:variant>
        <vt:i4>5</vt:i4>
      </vt:variant>
      <vt:variant>
        <vt:lpwstr>https://brims.bomra.co.bw/</vt:lpwstr>
      </vt:variant>
      <vt:variant>
        <vt:lpwstr/>
      </vt:variant>
      <vt:variant>
        <vt:i4>2162766</vt:i4>
      </vt:variant>
      <vt:variant>
        <vt:i4>135</vt:i4>
      </vt:variant>
      <vt:variant>
        <vt:i4>0</vt:i4>
      </vt:variant>
      <vt:variant>
        <vt:i4>5</vt:i4>
      </vt:variant>
      <vt:variant>
        <vt:lpwstr>mailto:inspections@bomra.co.bw</vt:lpwstr>
      </vt:variant>
      <vt:variant>
        <vt:lpwstr/>
      </vt:variant>
      <vt:variant>
        <vt:i4>1572913</vt:i4>
      </vt:variant>
      <vt:variant>
        <vt:i4>128</vt:i4>
      </vt:variant>
      <vt:variant>
        <vt:i4>0</vt:i4>
      </vt:variant>
      <vt:variant>
        <vt:i4>5</vt:i4>
      </vt:variant>
      <vt:variant>
        <vt:lpwstr/>
      </vt:variant>
      <vt:variant>
        <vt:lpwstr>_Toc226975219</vt:lpwstr>
      </vt:variant>
      <vt:variant>
        <vt:i4>1572913</vt:i4>
      </vt:variant>
      <vt:variant>
        <vt:i4>122</vt:i4>
      </vt:variant>
      <vt:variant>
        <vt:i4>0</vt:i4>
      </vt:variant>
      <vt:variant>
        <vt:i4>5</vt:i4>
      </vt:variant>
      <vt:variant>
        <vt:lpwstr/>
      </vt:variant>
      <vt:variant>
        <vt:lpwstr>_Toc226975218</vt:lpwstr>
      </vt:variant>
      <vt:variant>
        <vt:i4>1572913</vt:i4>
      </vt:variant>
      <vt:variant>
        <vt:i4>116</vt:i4>
      </vt:variant>
      <vt:variant>
        <vt:i4>0</vt:i4>
      </vt:variant>
      <vt:variant>
        <vt:i4>5</vt:i4>
      </vt:variant>
      <vt:variant>
        <vt:lpwstr/>
      </vt:variant>
      <vt:variant>
        <vt:lpwstr>_Toc226975217</vt:lpwstr>
      </vt:variant>
      <vt:variant>
        <vt:i4>1572913</vt:i4>
      </vt:variant>
      <vt:variant>
        <vt:i4>110</vt:i4>
      </vt:variant>
      <vt:variant>
        <vt:i4>0</vt:i4>
      </vt:variant>
      <vt:variant>
        <vt:i4>5</vt:i4>
      </vt:variant>
      <vt:variant>
        <vt:lpwstr/>
      </vt:variant>
      <vt:variant>
        <vt:lpwstr>_Toc226975216</vt:lpwstr>
      </vt:variant>
      <vt:variant>
        <vt:i4>1572913</vt:i4>
      </vt:variant>
      <vt:variant>
        <vt:i4>104</vt:i4>
      </vt:variant>
      <vt:variant>
        <vt:i4>0</vt:i4>
      </vt:variant>
      <vt:variant>
        <vt:i4>5</vt:i4>
      </vt:variant>
      <vt:variant>
        <vt:lpwstr/>
      </vt:variant>
      <vt:variant>
        <vt:lpwstr>_Toc226975215</vt:lpwstr>
      </vt:variant>
      <vt:variant>
        <vt:i4>1572913</vt:i4>
      </vt:variant>
      <vt:variant>
        <vt:i4>98</vt:i4>
      </vt:variant>
      <vt:variant>
        <vt:i4>0</vt:i4>
      </vt:variant>
      <vt:variant>
        <vt:i4>5</vt:i4>
      </vt:variant>
      <vt:variant>
        <vt:lpwstr/>
      </vt:variant>
      <vt:variant>
        <vt:lpwstr>_Toc226975214</vt:lpwstr>
      </vt:variant>
      <vt:variant>
        <vt:i4>1572913</vt:i4>
      </vt:variant>
      <vt:variant>
        <vt:i4>92</vt:i4>
      </vt:variant>
      <vt:variant>
        <vt:i4>0</vt:i4>
      </vt:variant>
      <vt:variant>
        <vt:i4>5</vt:i4>
      </vt:variant>
      <vt:variant>
        <vt:lpwstr/>
      </vt:variant>
      <vt:variant>
        <vt:lpwstr>_Toc226975213</vt:lpwstr>
      </vt:variant>
      <vt:variant>
        <vt:i4>1572913</vt:i4>
      </vt:variant>
      <vt:variant>
        <vt:i4>86</vt:i4>
      </vt:variant>
      <vt:variant>
        <vt:i4>0</vt:i4>
      </vt:variant>
      <vt:variant>
        <vt:i4>5</vt:i4>
      </vt:variant>
      <vt:variant>
        <vt:lpwstr/>
      </vt:variant>
      <vt:variant>
        <vt:lpwstr>_Toc226975212</vt:lpwstr>
      </vt:variant>
      <vt:variant>
        <vt:i4>1572913</vt:i4>
      </vt:variant>
      <vt:variant>
        <vt:i4>80</vt:i4>
      </vt:variant>
      <vt:variant>
        <vt:i4>0</vt:i4>
      </vt:variant>
      <vt:variant>
        <vt:i4>5</vt:i4>
      </vt:variant>
      <vt:variant>
        <vt:lpwstr/>
      </vt:variant>
      <vt:variant>
        <vt:lpwstr>_Toc226975211</vt:lpwstr>
      </vt:variant>
      <vt:variant>
        <vt:i4>1572913</vt:i4>
      </vt:variant>
      <vt:variant>
        <vt:i4>74</vt:i4>
      </vt:variant>
      <vt:variant>
        <vt:i4>0</vt:i4>
      </vt:variant>
      <vt:variant>
        <vt:i4>5</vt:i4>
      </vt:variant>
      <vt:variant>
        <vt:lpwstr/>
      </vt:variant>
      <vt:variant>
        <vt:lpwstr>_Toc226975210</vt:lpwstr>
      </vt:variant>
      <vt:variant>
        <vt:i4>1638449</vt:i4>
      </vt:variant>
      <vt:variant>
        <vt:i4>68</vt:i4>
      </vt:variant>
      <vt:variant>
        <vt:i4>0</vt:i4>
      </vt:variant>
      <vt:variant>
        <vt:i4>5</vt:i4>
      </vt:variant>
      <vt:variant>
        <vt:lpwstr/>
      </vt:variant>
      <vt:variant>
        <vt:lpwstr>_Toc226975209</vt:lpwstr>
      </vt:variant>
      <vt:variant>
        <vt:i4>1638449</vt:i4>
      </vt:variant>
      <vt:variant>
        <vt:i4>62</vt:i4>
      </vt:variant>
      <vt:variant>
        <vt:i4>0</vt:i4>
      </vt:variant>
      <vt:variant>
        <vt:i4>5</vt:i4>
      </vt:variant>
      <vt:variant>
        <vt:lpwstr/>
      </vt:variant>
      <vt:variant>
        <vt:lpwstr>_Toc226975208</vt:lpwstr>
      </vt:variant>
      <vt:variant>
        <vt:i4>1638449</vt:i4>
      </vt:variant>
      <vt:variant>
        <vt:i4>56</vt:i4>
      </vt:variant>
      <vt:variant>
        <vt:i4>0</vt:i4>
      </vt:variant>
      <vt:variant>
        <vt:i4>5</vt:i4>
      </vt:variant>
      <vt:variant>
        <vt:lpwstr/>
      </vt:variant>
      <vt:variant>
        <vt:lpwstr>_Toc226975207</vt:lpwstr>
      </vt:variant>
      <vt:variant>
        <vt:i4>1638449</vt:i4>
      </vt:variant>
      <vt:variant>
        <vt:i4>50</vt:i4>
      </vt:variant>
      <vt:variant>
        <vt:i4>0</vt:i4>
      </vt:variant>
      <vt:variant>
        <vt:i4>5</vt:i4>
      </vt:variant>
      <vt:variant>
        <vt:lpwstr/>
      </vt:variant>
      <vt:variant>
        <vt:lpwstr>_Toc226975206</vt:lpwstr>
      </vt:variant>
      <vt:variant>
        <vt:i4>1638449</vt:i4>
      </vt:variant>
      <vt:variant>
        <vt:i4>44</vt:i4>
      </vt:variant>
      <vt:variant>
        <vt:i4>0</vt:i4>
      </vt:variant>
      <vt:variant>
        <vt:i4>5</vt:i4>
      </vt:variant>
      <vt:variant>
        <vt:lpwstr/>
      </vt:variant>
      <vt:variant>
        <vt:lpwstr>_Toc226975205</vt:lpwstr>
      </vt:variant>
      <vt:variant>
        <vt:i4>1638449</vt:i4>
      </vt:variant>
      <vt:variant>
        <vt:i4>38</vt:i4>
      </vt:variant>
      <vt:variant>
        <vt:i4>0</vt:i4>
      </vt:variant>
      <vt:variant>
        <vt:i4>5</vt:i4>
      </vt:variant>
      <vt:variant>
        <vt:lpwstr/>
      </vt:variant>
      <vt:variant>
        <vt:lpwstr>_Toc226975204</vt:lpwstr>
      </vt:variant>
      <vt:variant>
        <vt:i4>1638449</vt:i4>
      </vt:variant>
      <vt:variant>
        <vt:i4>32</vt:i4>
      </vt:variant>
      <vt:variant>
        <vt:i4>0</vt:i4>
      </vt:variant>
      <vt:variant>
        <vt:i4>5</vt:i4>
      </vt:variant>
      <vt:variant>
        <vt:lpwstr/>
      </vt:variant>
      <vt:variant>
        <vt:lpwstr>_Toc226975203</vt:lpwstr>
      </vt:variant>
      <vt:variant>
        <vt:i4>1638449</vt:i4>
      </vt:variant>
      <vt:variant>
        <vt:i4>26</vt:i4>
      </vt:variant>
      <vt:variant>
        <vt:i4>0</vt:i4>
      </vt:variant>
      <vt:variant>
        <vt:i4>5</vt:i4>
      </vt:variant>
      <vt:variant>
        <vt:lpwstr/>
      </vt:variant>
      <vt:variant>
        <vt:lpwstr>_Toc226975202</vt:lpwstr>
      </vt:variant>
      <vt:variant>
        <vt:i4>1638449</vt:i4>
      </vt:variant>
      <vt:variant>
        <vt:i4>20</vt:i4>
      </vt:variant>
      <vt:variant>
        <vt:i4>0</vt:i4>
      </vt:variant>
      <vt:variant>
        <vt:i4>5</vt:i4>
      </vt:variant>
      <vt:variant>
        <vt:lpwstr/>
      </vt:variant>
      <vt:variant>
        <vt:lpwstr>_Toc226975201</vt:lpwstr>
      </vt:variant>
      <vt:variant>
        <vt:i4>1638449</vt:i4>
      </vt:variant>
      <vt:variant>
        <vt:i4>14</vt:i4>
      </vt:variant>
      <vt:variant>
        <vt:i4>0</vt:i4>
      </vt:variant>
      <vt:variant>
        <vt:i4>5</vt:i4>
      </vt:variant>
      <vt:variant>
        <vt:lpwstr/>
      </vt:variant>
      <vt:variant>
        <vt:lpwstr>_Toc226975200</vt:lpwstr>
      </vt:variant>
      <vt:variant>
        <vt:i4>1048626</vt:i4>
      </vt:variant>
      <vt:variant>
        <vt:i4>8</vt:i4>
      </vt:variant>
      <vt:variant>
        <vt:i4>0</vt:i4>
      </vt:variant>
      <vt:variant>
        <vt:i4>5</vt:i4>
      </vt:variant>
      <vt:variant>
        <vt:lpwstr/>
      </vt:variant>
      <vt:variant>
        <vt:lpwstr>_Toc226975199</vt:lpwstr>
      </vt:variant>
      <vt:variant>
        <vt:i4>1048626</vt:i4>
      </vt:variant>
      <vt:variant>
        <vt:i4>2</vt:i4>
      </vt:variant>
      <vt:variant>
        <vt:i4>0</vt:i4>
      </vt:variant>
      <vt:variant>
        <vt:i4>5</vt:i4>
      </vt:variant>
      <vt:variant>
        <vt:lpwstr/>
      </vt:variant>
      <vt:variant>
        <vt:lpwstr>_Toc226975198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Maikaego Nelson Moreri</dc:creator>
  <cp:keywords/>
  <dc:description/>
  <cp:lastModifiedBy>Maikaego Moreri</cp:lastModifiedBy>
  <cp:revision>32</cp:revision>
  <cp:lastPrinted>2026-04-16T06:34:00Z</cp:lastPrinted>
  <dcterms:created xsi:type="dcterms:W3CDTF">2026-04-14T12:39:00Z</dcterms:created>
  <dcterms:modified xsi:type="dcterms:W3CDTF">2026-04-16T06:34:00Z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0x010100E4D695CDB643AB4BA4FE3A6A25D03E2C</vt:lpwstr>
  </property>
</Properties>
</file>